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theme="minorBidi"/>
          <w:b w:val="0"/>
          <w:caps w:val="0"/>
          <w:spacing w:val="0"/>
          <w:kern w:val="0"/>
          <w:sz w:val="24"/>
          <w:szCs w:val="22"/>
        </w:rPr>
        <w:id w:val="-1773933186"/>
        <w:docPartObj>
          <w:docPartGallery w:val="Cover Pages"/>
          <w:docPartUnique/>
        </w:docPartObj>
      </w:sdtPr>
      <w:sdtEndPr>
        <w:rPr>
          <w:szCs w:val="24"/>
        </w:rPr>
      </w:sdtEndPr>
      <w:sdtContent>
        <w:sdt>
          <w:sdtPr>
            <w:rPr>
              <w:rFonts w:eastAsiaTheme="minorHAnsi" w:cstheme="minorBidi"/>
              <w:b w:val="0"/>
              <w:caps w:val="0"/>
              <w:spacing w:val="0"/>
              <w:kern w:val="0"/>
              <w:sz w:val="24"/>
              <w:szCs w:val="22"/>
            </w:rPr>
            <w:id w:val="1760165483"/>
            <w:docPartObj>
              <w:docPartGallery w:val="Cover Pages"/>
              <w:docPartUnique/>
            </w:docPartObj>
          </w:sdtPr>
          <w:sdtEndPr>
            <w:rPr>
              <w:szCs w:val="24"/>
            </w:rPr>
          </w:sdtEndPr>
          <w:sdtContent>
            <w:p w:rsidR="00410388" w:rsidRPr="00212C2C" w:rsidRDefault="00410388" w:rsidP="00206FD1">
              <w:pPr>
                <w:pStyle w:val="Title"/>
                <w:spacing w:before="240"/>
                <w:jc w:val="center"/>
              </w:pPr>
              <w:r w:rsidRPr="00212C2C">
                <w:t>QUY</w:t>
              </w:r>
              <w:r w:rsidR="00704428" w:rsidRPr="00212C2C">
                <w:t xml:space="preserve"> </w:t>
              </w:r>
              <w:r w:rsidRPr="00212C2C">
                <w:t>TẮC VÀ ĐIỀU KHOẢN</w:t>
              </w:r>
            </w:p>
            <w:p w:rsidR="00410388" w:rsidRPr="00206FD1" w:rsidRDefault="00410388" w:rsidP="00206FD1">
              <w:pPr>
                <w:pStyle w:val="Title"/>
                <w:jc w:val="center"/>
              </w:pPr>
              <w:r w:rsidRPr="00206FD1">
                <w:t xml:space="preserve">SẢN PHẨM </w:t>
              </w:r>
              <w:r w:rsidR="00476360" w:rsidRPr="00206FD1">
                <w:t xml:space="preserve">BẢO HIỂM </w:t>
              </w:r>
              <w:r w:rsidRPr="00206FD1">
                <w:t xml:space="preserve">HƯU TRÍ </w:t>
              </w:r>
              <w:r w:rsidR="00670B4F" w:rsidRPr="00206FD1">
                <w:t>2018</w:t>
              </w:r>
            </w:p>
            <w:p w:rsidR="00395710" w:rsidRDefault="00410388" w:rsidP="00206FD1">
              <w:pPr>
                <w:jc w:val="center"/>
                <w:rPr>
                  <w:szCs w:val="24"/>
                </w:rPr>
                <w:sectPr w:rsidR="00395710" w:rsidSect="004A1B8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576" w:footer="720" w:gutter="0"/>
                  <w:pgNumType w:start="0"/>
                  <w:cols w:space="720"/>
                  <w:vAlign w:val="center"/>
                  <w:titlePg/>
                  <w:docGrid w:linePitch="360"/>
                </w:sectPr>
              </w:pPr>
              <w:r w:rsidRPr="00212C2C">
                <w:rPr>
                  <w:szCs w:val="24"/>
                </w:rPr>
                <w:t>(Ban hành kèm theo Công văn số ----/BTC-QLBH ngày --/--/---- của Bộ Tài chính)</w:t>
              </w:r>
            </w:p>
            <w:p w:rsidR="00E92DBE" w:rsidRPr="00212C2C" w:rsidRDefault="00E92DBE" w:rsidP="00206FD1">
              <w:pPr>
                <w:jc w:val="center"/>
                <w:rPr>
                  <w:szCs w:val="24"/>
                </w:rPr>
              </w:pPr>
            </w:p>
            <w:sdt>
              <w:sdtPr>
                <w:rPr>
                  <w:szCs w:val="24"/>
                </w:rPr>
                <w:id w:val="1663196289"/>
                <w:docPartObj>
                  <w:docPartGallery w:val="Table of Contents"/>
                  <w:docPartUnique/>
                </w:docPartObj>
              </w:sdtPr>
              <w:sdtContent>
                <w:p w:rsidR="001025CD" w:rsidRPr="00212C2C" w:rsidRDefault="00E305F7" w:rsidP="00212C2C">
                  <w:pPr>
                    <w:pStyle w:val="TOC1"/>
                    <w:rPr>
                      <w:rFonts w:asciiTheme="minorHAnsi" w:eastAsiaTheme="minorEastAsia" w:hAnsiTheme="minorHAnsi"/>
                      <w:noProof/>
                      <w:sz w:val="22"/>
                    </w:rPr>
                  </w:pPr>
                  <w:r w:rsidRPr="00212C2C">
                    <w:rPr>
                      <w:szCs w:val="24"/>
                    </w:rPr>
                    <w:fldChar w:fldCharType="begin"/>
                  </w:r>
                  <w:r w:rsidR="00AD73B7" w:rsidRPr="00212C2C">
                    <w:rPr>
                      <w:szCs w:val="24"/>
                    </w:rPr>
                    <w:instrText xml:space="preserve"> TOC \o "1-1" \h \z \u </w:instrText>
                  </w:r>
                  <w:r w:rsidRPr="00212C2C">
                    <w:rPr>
                      <w:szCs w:val="24"/>
                    </w:rPr>
                    <w:fldChar w:fldCharType="separate"/>
                  </w:r>
                  <w:hyperlink w:anchor="_Toc498701172" w:history="1">
                    <w:r w:rsidR="001025CD" w:rsidRPr="00212C2C">
                      <w:rPr>
                        <w:rStyle w:val="Hyperlink"/>
                        <w:noProof/>
                      </w:rPr>
                      <w:t>Điều 1.</w:t>
                    </w:r>
                    <w:r w:rsidR="001025CD" w:rsidRPr="00212C2C">
                      <w:rPr>
                        <w:rFonts w:asciiTheme="minorHAnsi" w:eastAsiaTheme="minorEastAsia" w:hAnsiTheme="minorHAnsi"/>
                        <w:noProof/>
                        <w:sz w:val="22"/>
                      </w:rPr>
                      <w:tab/>
                    </w:r>
                    <w:r w:rsidR="001025CD" w:rsidRPr="00212C2C">
                      <w:rPr>
                        <w:rStyle w:val="Hyperlink"/>
                        <w:noProof/>
                      </w:rPr>
                      <w:t>ĐỊNH NGHĨA</w:t>
                    </w:r>
                    <w:r w:rsidR="001025CD" w:rsidRPr="00212C2C">
                      <w:rPr>
                        <w:noProof/>
                        <w:webHidden/>
                      </w:rPr>
                      <w:tab/>
                    </w:r>
                    <w:r w:rsidRPr="00212C2C">
                      <w:rPr>
                        <w:noProof/>
                        <w:webHidden/>
                      </w:rPr>
                      <w:fldChar w:fldCharType="begin"/>
                    </w:r>
                    <w:r w:rsidR="001025CD" w:rsidRPr="00212C2C">
                      <w:rPr>
                        <w:noProof/>
                        <w:webHidden/>
                      </w:rPr>
                      <w:instrText xml:space="preserve"> PAGEREF _Toc498701172 \h </w:instrText>
                    </w:r>
                    <w:r w:rsidRPr="00212C2C">
                      <w:rPr>
                        <w:noProof/>
                        <w:webHidden/>
                      </w:rPr>
                    </w:r>
                    <w:r w:rsidRPr="00212C2C">
                      <w:rPr>
                        <w:noProof/>
                        <w:webHidden/>
                      </w:rPr>
                      <w:fldChar w:fldCharType="separate"/>
                    </w:r>
                    <w:r w:rsidR="006460ED">
                      <w:rPr>
                        <w:noProof/>
                        <w:webHidden/>
                      </w:rPr>
                      <w:t>1</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3" w:history="1">
                    <w:r w:rsidR="001025CD" w:rsidRPr="00212C2C">
                      <w:rPr>
                        <w:rStyle w:val="Hyperlink"/>
                        <w:noProof/>
                      </w:rPr>
                      <w:t>Điều 2.</w:t>
                    </w:r>
                    <w:r w:rsidR="001025CD" w:rsidRPr="00212C2C">
                      <w:rPr>
                        <w:rFonts w:asciiTheme="minorHAnsi" w:eastAsiaTheme="minorEastAsia" w:hAnsiTheme="minorHAnsi"/>
                        <w:noProof/>
                        <w:sz w:val="22"/>
                      </w:rPr>
                      <w:tab/>
                    </w:r>
                    <w:r w:rsidR="001025CD" w:rsidRPr="00212C2C">
                      <w:rPr>
                        <w:rStyle w:val="Hyperlink"/>
                        <w:noProof/>
                      </w:rPr>
                      <w:t>HỢP ĐỒNG BẢO HIỂM HƯU TRÍ</w:t>
                    </w:r>
                    <w:r w:rsidR="001025CD" w:rsidRPr="00212C2C">
                      <w:rPr>
                        <w:noProof/>
                        <w:webHidden/>
                      </w:rPr>
                      <w:tab/>
                    </w:r>
                    <w:r w:rsidRPr="00212C2C">
                      <w:rPr>
                        <w:noProof/>
                        <w:webHidden/>
                      </w:rPr>
                      <w:fldChar w:fldCharType="begin"/>
                    </w:r>
                    <w:r w:rsidR="001025CD" w:rsidRPr="00212C2C">
                      <w:rPr>
                        <w:noProof/>
                        <w:webHidden/>
                      </w:rPr>
                      <w:instrText xml:space="preserve"> PAGEREF _Toc498701173 \h </w:instrText>
                    </w:r>
                    <w:r w:rsidRPr="00212C2C">
                      <w:rPr>
                        <w:noProof/>
                        <w:webHidden/>
                      </w:rPr>
                    </w:r>
                    <w:r w:rsidRPr="00212C2C">
                      <w:rPr>
                        <w:noProof/>
                        <w:webHidden/>
                      </w:rPr>
                      <w:fldChar w:fldCharType="separate"/>
                    </w:r>
                    <w:r w:rsidR="006460ED">
                      <w:rPr>
                        <w:noProof/>
                        <w:webHidden/>
                      </w:rPr>
                      <w:t>4</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4" w:history="1">
                    <w:r w:rsidR="001025CD" w:rsidRPr="00212C2C">
                      <w:rPr>
                        <w:rStyle w:val="Hyperlink"/>
                        <w:noProof/>
                      </w:rPr>
                      <w:t>Điều 3.</w:t>
                    </w:r>
                    <w:r w:rsidR="001025CD" w:rsidRPr="00212C2C">
                      <w:rPr>
                        <w:rFonts w:asciiTheme="minorHAnsi" w:eastAsiaTheme="minorEastAsia" w:hAnsiTheme="minorHAnsi"/>
                        <w:noProof/>
                        <w:sz w:val="22"/>
                      </w:rPr>
                      <w:tab/>
                    </w:r>
                    <w:r w:rsidR="001025CD" w:rsidRPr="00212C2C">
                      <w:rPr>
                        <w:rStyle w:val="Hyperlink"/>
                        <w:noProof/>
                      </w:rPr>
                      <w:t>THỜI GIAN GIA HẠN ĐÓNG PHÍ</w:t>
                    </w:r>
                    <w:r w:rsidR="001025CD" w:rsidRPr="00212C2C">
                      <w:rPr>
                        <w:noProof/>
                        <w:webHidden/>
                      </w:rPr>
                      <w:tab/>
                    </w:r>
                    <w:r w:rsidRPr="00212C2C">
                      <w:rPr>
                        <w:noProof/>
                        <w:webHidden/>
                      </w:rPr>
                      <w:fldChar w:fldCharType="begin"/>
                    </w:r>
                    <w:r w:rsidR="001025CD" w:rsidRPr="00212C2C">
                      <w:rPr>
                        <w:noProof/>
                        <w:webHidden/>
                      </w:rPr>
                      <w:instrText xml:space="preserve"> PAGEREF _Toc498701174 \h </w:instrText>
                    </w:r>
                    <w:r w:rsidRPr="00212C2C">
                      <w:rPr>
                        <w:noProof/>
                        <w:webHidden/>
                      </w:rPr>
                    </w:r>
                    <w:r w:rsidRPr="00212C2C">
                      <w:rPr>
                        <w:noProof/>
                        <w:webHidden/>
                      </w:rPr>
                      <w:fldChar w:fldCharType="separate"/>
                    </w:r>
                    <w:r w:rsidR="006460ED">
                      <w:rPr>
                        <w:noProof/>
                        <w:webHidden/>
                      </w:rPr>
                      <w:t>5</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5" w:history="1">
                    <w:r w:rsidR="001025CD" w:rsidRPr="00212C2C">
                      <w:rPr>
                        <w:rStyle w:val="Hyperlink"/>
                        <w:noProof/>
                      </w:rPr>
                      <w:t>Điều 4.</w:t>
                    </w:r>
                    <w:r w:rsidR="001025CD" w:rsidRPr="00212C2C">
                      <w:rPr>
                        <w:rFonts w:asciiTheme="minorHAnsi" w:eastAsiaTheme="minorEastAsia" w:hAnsiTheme="minorHAnsi"/>
                        <w:noProof/>
                        <w:sz w:val="22"/>
                      </w:rPr>
                      <w:tab/>
                    </w:r>
                    <w:r w:rsidR="001025CD" w:rsidRPr="00212C2C">
                      <w:rPr>
                        <w:rStyle w:val="Hyperlink"/>
                        <w:noProof/>
                      </w:rPr>
                      <w:t>CÁC KHOẢN PHÍ CÓ THỂ KHẤU TRỪ</w:t>
                    </w:r>
                    <w:r w:rsidR="001025CD" w:rsidRPr="00212C2C">
                      <w:rPr>
                        <w:noProof/>
                        <w:webHidden/>
                      </w:rPr>
                      <w:tab/>
                    </w:r>
                    <w:r w:rsidRPr="00212C2C">
                      <w:rPr>
                        <w:noProof/>
                        <w:webHidden/>
                      </w:rPr>
                      <w:fldChar w:fldCharType="begin"/>
                    </w:r>
                    <w:r w:rsidR="001025CD" w:rsidRPr="00212C2C">
                      <w:rPr>
                        <w:noProof/>
                        <w:webHidden/>
                      </w:rPr>
                      <w:instrText xml:space="preserve"> PAGEREF _Toc498701175 \h </w:instrText>
                    </w:r>
                    <w:r w:rsidRPr="00212C2C">
                      <w:rPr>
                        <w:noProof/>
                        <w:webHidden/>
                      </w:rPr>
                    </w:r>
                    <w:r w:rsidRPr="00212C2C">
                      <w:rPr>
                        <w:noProof/>
                        <w:webHidden/>
                      </w:rPr>
                      <w:fldChar w:fldCharType="separate"/>
                    </w:r>
                    <w:r w:rsidR="006460ED">
                      <w:rPr>
                        <w:noProof/>
                        <w:webHidden/>
                      </w:rPr>
                      <w:t>5</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6" w:history="1">
                    <w:r w:rsidR="001025CD" w:rsidRPr="00212C2C">
                      <w:rPr>
                        <w:rStyle w:val="Hyperlink"/>
                        <w:noProof/>
                      </w:rPr>
                      <w:t>Điều 5.</w:t>
                    </w:r>
                    <w:r w:rsidR="001025CD" w:rsidRPr="00212C2C">
                      <w:rPr>
                        <w:rFonts w:asciiTheme="minorHAnsi" w:eastAsiaTheme="minorEastAsia" w:hAnsiTheme="minorHAnsi"/>
                        <w:noProof/>
                        <w:sz w:val="22"/>
                      </w:rPr>
                      <w:tab/>
                    </w:r>
                    <w:r w:rsidR="001025CD" w:rsidRPr="00212C2C">
                      <w:rPr>
                        <w:rStyle w:val="Hyperlink"/>
                        <w:noProof/>
                      </w:rPr>
                      <w:t>QUYỀN LỢI BẢO HIỂM</w:t>
                    </w:r>
                    <w:r w:rsidR="001025CD" w:rsidRPr="00212C2C">
                      <w:rPr>
                        <w:noProof/>
                        <w:webHidden/>
                      </w:rPr>
                      <w:tab/>
                    </w:r>
                    <w:r w:rsidRPr="00212C2C">
                      <w:rPr>
                        <w:noProof/>
                        <w:webHidden/>
                      </w:rPr>
                      <w:fldChar w:fldCharType="begin"/>
                    </w:r>
                    <w:r w:rsidR="001025CD" w:rsidRPr="00212C2C">
                      <w:rPr>
                        <w:noProof/>
                        <w:webHidden/>
                      </w:rPr>
                      <w:instrText xml:space="preserve"> PAGEREF _Toc498701176 \h </w:instrText>
                    </w:r>
                    <w:r w:rsidRPr="00212C2C">
                      <w:rPr>
                        <w:noProof/>
                        <w:webHidden/>
                      </w:rPr>
                    </w:r>
                    <w:r w:rsidRPr="00212C2C">
                      <w:rPr>
                        <w:noProof/>
                        <w:webHidden/>
                      </w:rPr>
                      <w:fldChar w:fldCharType="separate"/>
                    </w:r>
                    <w:r w:rsidR="006460ED">
                      <w:rPr>
                        <w:noProof/>
                        <w:webHidden/>
                      </w:rPr>
                      <w:t>6</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7" w:history="1">
                    <w:r w:rsidR="001025CD" w:rsidRPr="00212C2C">
                      <w:rPr>
                        <w:rStyle w:val="Hyperlink"/>
                        <w:noProof/>
                      </w:rPr>
                      <w:t>Điều 6.</w:t>
                    </w:r>
                    <w:r w:rsidR="001025CD" w:rsidRPr="00212C2C">
                      <w:rPr>
                        <w:rFonts w:asciiTheme="minorHAnsi" w:eastAsiaTheme="minorEastAsia" w:hAnsiTheme="minorHAnsi"/>
                        <w:noProof/>
                        <w:sz w:val="22"/>
                      </w:rPr>
                      <w:tab/>
                    </w:r>
                    <w:r w:rsidR="001025CD" w:rsidRPr="00212C2C">
                      <w:rPr>
                        <w:rStyle w:val="Hyperlink"/>
                        <w:noProof/>
                      </w:rPr>
                      <w:t>ĐIỀU KHOẢN LOẠI TRỪ</w:t>
                    </w:r>
                    <w:r w:rsidR="001025CD" w:rsidRPr="00212C2C">
                      <w:rPr>
                        <w:noProof/>
                        <w:webHidden/>
                      </w:rPr>
                      <w:tab/>
                    </w:r>
                    <w:r w:rsidRPr="00212C2C">
                      <w:rPr>
                        <w:noProof/>
                        <w:webHidden/>
                      </w:rPr>
                      <w:fldChar w:fldCharType="begin"/>
                    </w:r>
                    <w:r w:rsidR="001025CD" w:rsidRPr="00212C2C">
                      <w:rPr>
                        <w:noProof/>
                        <w:webHidden/>
                      </w:rPr>
                      <w:instrText xml:space="preserve"> PAGEREF _Toc498701177 \h </w:instrText>
                    </w:r>
                    <w:r w:rsidRPr="00212C2C">
                      <w:rPr>
                        <w:noProof/>
                        <w:webHidden/>
                      </w:rPr>
                    </w:r>
                    <w:r w:rsidRPr="00212C2C">
                      <w:rPr>
                        <w:noProof/>
                        <w:webHidden/>
                      </w:rPr>
                      <w:fldChar w:fldCharType="separate"/>
                    </w:r>
                    <w:r w:rsidR="006460ED">
                      <w:rPr>
                        <w:noProof/>
                        <w:webHidden/>
                      </w:rPr>
                      <w:t>9</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8" w:history="1">
                    <w:r w:rsidR="001025CD" w:rsidRPr="00212C2C">
                      <w:rPr>
                        <w:rStyle w:val="Hyperlink"/>
                        <w:noProof/>
                      </w:rPr>
                      <w:t>Điều 7.</w:t>
                    </w:r>
                    <w:r w:rsidR="001025CD" w:rsidRPr="00212C2C">
                      <w:rPr>
                        <w:rFonts w:asciiTheme="minorHAnsi" w:eastAsiaTheme="minorEastAsia" w:hAnsiTheme="minorHAnsi"/>
                        <w:noProof/>
                        <w:sz w:val="22"/>
                      </w:rPr>
                      <w:tab/>
                    </w:r>
                    <w:r w:rsidR="001025CD" w:rsidRPr="00212C2C">
                      <w:rPr>
                        <w:rStyle w:val="Hyperlink"/>
                        <w:noProof/>
                      </w:rPr>
                      <w:t>RÚT TIỀN TỪ GIÁ TRỊ TÀI KHOẢN HƯU TRÍ</w:t>
                    </w:r>
                    <w:r w:rsidR="001025CD" w:rsidRPr="00212C2C">
                      <w:rPr>
                        <w:noProof/>
                        <w:webHidden/>
                      </w:rPr>
                      <w:tab/>
                    </w:r>
                    <w:r w:rsidRPr="00212C2C">
                      <w:rPr>
                        <w:noProof/>
                        <w:webHidden/>
                      </w:rPr>
                      <w:fldChar w:fldCharType="begin"/>
                    </w:r>
                    <w:r w:rsidR="001025CD" w:rsidRPr="00212C2C">
                      <w:rPr>
                        <w:noProof/>
                        <w:webHidden/>
                      </w:rPr>
                      <w:instrText xml:space="preserve"> PAGEREF _Toc498701178 \h </w:instrText>
                    </w:r>
                    <w:r w:rsidRPr="00212C2C">
                      <w:rPr>
                        <w:noProof/>
                        <w:webHidden/>
                      </w:rPr>
                    </w:r>
                    <w:r w:rsidRPr="00212C2C">
                      <w:rPr>
                        <w:noProof/>
                        <w:webHidden/>
                      </w:rPr>
                      <w:fldChar w:fldCharType="separate"/>
                    </w:r>
                    <w:r w:rsidR="006460ED">
                      <w:rPr>
                        <w:noProof/>
                        <w:webHidden/>
                      </w:rPr>
                      <w:t>10</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79" w:history="1">
                    <w:r w:rsidR="001025CD" w:rsidRPr="00212C2C">
                      <w:rPr>
                        <w:rStyle w:val="Hyperlink"/>
                        <w:noProof/>
                      </w:rPr>
                      <w:t>Điều 8.</w:t>
                    </w:r>
                    <w:r w:rsidR="001025CD" w:rsidRPr="00212C2C">
                      <w:rPr>
                        <w:rFonts w:asciiTheme="minorHAnsi" w:eastAsiaTheme="minorEastAsia" w:hAnsiTheme="minorHAnsi"/>
                        <w:noProof/>
                        <w:sz w:val="22"/>
                      </w:rPr>
                      <w:tab/>
                    </w:r>
                    <w:r w:rsidR="001025CD" w:rsidRPr="00212C2C">
                      <w:rPr>
                        <w:rStyle w:val="Hyperlink"/>
                        <w:noProof/>
                      </w:rPr>
                      <w:t>MIỄN TRUY XÉT</w:t>
                    </w:r>
                    <w:r w:rsidR="001025CD" w:rsidRPr="00212C2C">
                      <w:rPr>
                        <w:noProof/>
                        <w:webHidden/>
                      </w:rPr>
                      <w:tab/>
                    </w:r>
                    <w:r w:rsidRPr="00212C2C">
                      <w:rPr>
                        <w:noProof/>
                        <w:webHidden/>
                      </w:rPr>
                      <w:fldChar w:fldCharType="begin"/>
                    </w:r>
                    <w:r w:rsidR="001025CD" w:rsidRPr="00212C2C">
                      <w:rPr>
                        <w:noProof/>
                        <w:webHidden/>
                      </w:rPr>
                      <w:instrText xml:space="preserve"> PAGEREF _Toc498701179 \h </w:instrText>
                    </w:r>
                    <w:r w:rsidRPr="00212C2C">
                      <w:rPr>
                        <w:noProof/>
                        <w:webHidden/>
                      </w:rPr>
                    </w:r>
                    <w:r w:rsidRPr="00212C2C">
                      <w:rPr>
                        <w:noProof/>
                        <w:webHidden/>
                      </w:rPr>
                      <w:fldChar w:fldCharType="separate"/>
                    </w:r>
                    <w:r w:rsidR="006460ED">
                      <w:rPr>
                        <w:noProof/>
                        <w:webHidden/>
                      </w:rPr>
                      <w:t>10</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0" w:history="1">
                    <w:r w:rsidR="001025CD" w:rsidRPr="00212C2C">
                      <w:rPr>
                        <w:rStyle w:val="Hyperlink"/>
                        <w:noProof/>
                      </w:rPr>
                      <w:t>Điều 9.</w:t>
                    </w:r>
                    <w:r w:rsidR="001025CD" w:rsidRPr="00212C2C">
                      <w:rPr>
                        <w:rFonts w:asciiTheme="minorHAnsi" w:eastAsiaTheme="minorEastAsia" w:hAnsiTheme="minorHAnsi"/>
                        <w:noProof/>
                        <w:sz w:val="22"/>
                      </w:rPr>
                      <w:tab/>
                    </w:r>
                    <w:r w:rsidR="001025CD" w:rsidRPr="00212C2C">
                      <w:rPr>
                        <w:rStyle w:val="Hyperlink"/>
                        <w:noProof/>
                      </w:rPr>
                      <w:t>CHUYỂN TÀI KHOẢN BẢO HIỂM HƯU TRÍ</w:t>
                    </w:r>
                    <w:r w:rsidR="001025CD" w:rsidRPr="00212C2C">
                      <w:rPr>
                        <w:noProof/>
                        <w:webHidden/>
                      </w:rPr>
                      <w:tab/>
                    </w:r>
                    <w:r w:rsidRPr="00212C2C">
                      <w:rPr>
                        <w:noProof/>
                        <w:webHidden/>
                      </w:rPr>
                      <w:fldChar w:fldCharType="begin"/>
                    </w:r>
                    <w:r w:rsidR="001025CD" w:rsidRPr="00212C2C">
                      <w:rPr>
                        <w:noProof/>
                        <w:webHidden/>
                      </w:rPr>
                      <w:instrText xml:space="preserve"> PAGEREF _Toc498701180 \h </w:instrText>
                    </w:r>
                    <w:r w:rsidRPr="00212C2C">
                      <w:rPr>
                        <w:noProof/>
                        <w:webHidden/>
                      </w:rPr>
                    </w:r>
                    <w:r w:rsidRPr="00212C2C">
                      <w:rPr>
                        <w:noProof/>
                        <w:webHidden/>
                      </w:rPr>
                      <w:fldChar w:fldCharType="separate"/>
                    </w:r>
                    <w:r w:rsidR="006460ED">
                      <w:rPr>
                        <w:noProof/>
                        <w:webHidden/>
                      </w:rPr>
                      <w:t>11</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1" w:history="1">
                    <w:r w:rsidR="001025CD" w:rsidRPr="00212C2C">
                      <w:rPr>
                        <w:rStyle w:val="Hyperlink"/>
                        <w:noProof/>
                      </w:rPr>
                      <w:t>Điều 10.</w:t>
                    </w:r>
                    <w:r w:rsidR="001025CD" w:rsidRPr="00212C2C">
                      <w:rPr>
                        <w:rFonts w:asciiTheme="minorHAnsi" w:eastAsiaTheme="minorEastAsia" w:hAnsiTheme="minorHAnsi"/>
                        <w:noProof/>
                        <w:sz w:val="22"/>
                      </w:rPr>
                      <w:tab/>
                    </w:r>
                    <w:r w:rsidR="001025CD" w:rsidRPr="00212C2C">
                      <w:rPr>
                        <w:rStyle w:val="Hyperlink"/>
                        <w:noProof/>
                      </w:rPr>
                      <w:t>TRÁCH NHIỆM KÊ KHAI, CUNG CẤP VÀ BẢO MẬT THÔNG TIN</w:t>
                    </w:r>
                    <w:r w:rsidR="001025CD" w:rsidRPr="00212C2C">
                      <w:rPr>
                        <w:noProof/>
                        <w:webHidden/>
                      </w:rPr>
                      <w:tab/>
                    </w:r>
                    <w:r w:rsidRPr="00212C2C">
                      <w:rPr>
                        <w:noProof/>
                        <w:webHidden/>
                      </w:rPr>
                      <w:fldChar w:fldCharType="begin"/>
                    </w:r>
                    <w:r w:rsidR="001025CD" w:rsidRPr="00212C2C">
                      <w:rPr>
                        <w:noProof/>
                        <w:webHidden/>
                      </w:rPr>
                      <w:instrText xml:space="preserve"> PAGEREF _Toc498701181 \h </w:instrText>
                    </w:r>
                    <w:r w:rsidRPr="00212C2C">
                      <w:rPr>
                        <w:noProof/>
                        <w:webHidden/>
                      </w:rPr>
                    </w:r>
                    <w:r w:rsidRPr="00212C2C">
                      <w:rPr>
                        <w:noProof/>
                        <w:webHidden/>
                      </w:rPr>
                      <w:fldChar w:fldCharType="separate"/>
                    </w:r>
                    <w:r w:rsidR="006460ED">
                      <w:rPr>
                        <w:noProof/>
                        <w:webHidden/>
                      </w:rPr>
                      <w:t>11</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2" w:history="1">
                    <w:r w:rsidR="001025CD" w:rsidRPr="00212C2C">
                      <w:rPr>
                        <w:rStyle w:val="Hyperlink"/>
                        <w:noProof/>
                      </w:rPr>
                      <w:t>Điều 11.</w:t>
                    </w:r>
                    <w:r w:rsidR="001025CD" w:rsidRPr="00212C2C">
                      <w:rPr>
                        <w:rFonts w:asciiTheme="minorHAnsi" w:eastAsiaTheme="minorEastAsia" w:hAnsiTheme="minorHAnsi"/>
                        <w:noProof/>
                        <w:sz w:val="22"/>
                      </w:rPr>
                      <w:tab/>
                    </w:r>
                    <w:r w:rsidR="001025CD" w:rsidRPr="00212C2C">
                      <w:rPr>
                        <w:rStyle w:val="Hyperlink"/>
                        <w:noProof/>
                      </w:rPr>
                      <w:t>NHẦM LẪN KHI KÊ KHAI TUỔI, GIỚI TÍNH</w:t>
                    </w:r>
                    <w:r w:rsidR="001025CD" w:rsidRPr="00212C2C">
                      <w:rPr>
                        <w:noProof/>
                        <w:webHidden/>
                      </w:rPr>
                      <w:tab/>
                    </w:r>
                    <w:r w:rsidRPr="00212C2C">
                      <w:rPr>
                        <w:noProof/>
                        <w:webHidden/>
                      </w:rPr>
                      <w:fldChar w:fldCharType="begin"/>
                    </w:r>
                    <w:r w:rsidR="001025CD" w:rsidRPr="00212C2C">
                      <w:rPr>
                        <w:noProof/>
                        <w:webHidden/>
                      </w:rPr>
                      <w:instrText xml:space="preserve"> PAGEREF _Toc498701182 \h </w:instrText>
                    </w:r>
                    <w:r w:rsidRPr="00212C2C">
                      <w:rPr>
                        <w:noProof/>
                        <w:webHidden/>
                      </w:rPr>
                    </w:r>
                    <w:r w:rsidRPr="00212C2C">
                      <w:rPr>
                        <w:noProof/>
                        <w:webHidden/>
                      </w:rPr>
                      <w:fldChar w:fldCharType="separate"/>
                    </w:r>
                    <w:r w:rsidR="006460ED">
                      <w:rPr>
                        <w:noProof/>
                        <w:webHidden/>
                      </w:rPr>
                      <w:t>12</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3" w:history="1">
                    <w:r w:rsidR="001025CD" w:rsidRPr="00212C2C">
                      <w:rPr>
                        <w:rStyle w:val="Hyperlink"/>
                        <w:noProof/>
                      </w:rPr>
                      <w:t>Điều 12.</w:t>
                    </w:r>
                    <w:r w:rsidR="001025CD" w:rsidRPr="00212C2C">
                      <w:rPr>
                        <w:rFonts w:asciiTheme="minorHAnsi" w:eastAsiaTheme="minorEastAsia" w:hAnsiTheme="minorHAnsi"/>
                        <w:noProof/>
                        <w:sz w:val="22"/>
                      </w:rPr>
                      <w:tab/>
                    </w:r>
                    <w:r w:rsidR="001025CD" w:rsidRPr="00212C2C">
                      <w:rPr>
                        <w:rStyle w:val="Hyperlink"/>
                        <w:noProof/>
                      </w:rPr>
                      <w:t>KHÔI PHỤC HIỆU LỰC HỢP ĐỒNG</w:t>
                    </w:r>
                    <w:r w:rsidR="001025CD" w:rsidRPr="00212C2C">
                      <w:rPr>
                        <w:noProof/>
                        <w:webHidden/>
                      </w:rPr>
                      <w:tab/>
                    </w:r>
                    <w:r w:rsidRPr="00212C2C">
                      <w:rPr>
                        <w:noProof/>
                        <w:webHidden/>
                      </w:rPr>
                      <w:fldChar w:fldCharType="begin"/>
                    </w:r>
                    <w:r w:rsidR="001025CD" w:rsidRPr="00212C2C">
                      <w:rPr>
                        <w:noProof/>
                        <w:webHidden/>
                      </w:rPr>
                      <w:instrText xml:space="preserve"> PAGEREF _Toc498701183 \h </w:instrText>
                    </w:r>
                    <w:r w:rsidRPr="00212C2C">
                      <w:rPr>
                        <w:noProof/>
                        <w:webHidden/>
                      </w:rPr>
                    </w:r>
                    <w:r w:rsidRPr="00212C2C">
                      <w:rPr>
                        <w:noProof/>
                        <w:webHidden/>
                      </w:rPr>
                      <w:fldChar w:fldCharType="separate"/>
                    </w:r>
                    <w:r w:rsidR="006460ED">
                      <w:rPr>
                        <w:noProof/>
                        <w:webHidden/>
                      </w:rPr>
                      <w:t>13</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4" w:history="1">
                    <w:r w:rsidR="001025CD" w:rsidRPr="00212C2C">
                      <w:rPr>
                        <w:rStyle w:val="Hyperlink"/>
                        <w:noProof/>
                      </w:rPr>
                      <w:t>Điều 13.</w:t>
                    </w:r>
                    <w:r w:rsidR="001025CD" w:rsidRPr="00212C2C">
                      <w:rPr>
                        <w:rFonts w:asciiTheme="minorHAnsi" w:eastAsiaTheme="minorEastAsia" w:hAnsiTheme="minorHAnsi"/>
                        <w:noProof/>
                        <w:sz w:val="22"/>
                      </w:rPr>
                      <w:tab/>
                    </w:r>
                    <w:r w:rsidR="001025CD" w:rsidRPr="00212C2C">
                      <w:rPr>
                        <w:rStyle w:val="Hyperlink"/>
                        <w:noProof/>
                      </w:rPr>
                      <w:t>CHẤM DỨT HIỆU LỰC HỢP ĐỒNG BẢO HIỂM HƯU TRÍ</w:t>
                    </w:r>
                    <w:r w:rsidR="001025CD" w:rsidRPr="00212C2C">
                      <w:rPr>
                        <w:noProof/>
                        <w:webHidden/>
                      </w:rPr>
                      <w:tab/>
                    </w:r>
                    <w:r w:rsidRPr="00212C2C">
                      <w:rPr>
                        <w:noProof/>
                        <w:webHidden/>
                      </w:rPr>
                      <w:fldChar w:fldCharType="begin"/>
                    </w:r>
                    <w:r w:rsidR="001025CD" w:rsidRPr="00212C2C">
                      <w:rPr>
                        <w:noProof/>
                        <w:webHidden/>
                      </w:rPr>
                      <w:instrText xml:space="preserve"> PAGEREF _Toc498701184 \h </w:instrText>
                    </w:r>
                    <w:r w:rsidRPr="00212C2C">
                      <w:rPr>
                        <w:noProof/>
                        <w:webHidden/>
                      </w:rPr>
                    </w:r>
                    <w:r w:rsidRPr="00212C2C">
                      <w:rPr>
                        <w:noProof/>
                        <w:webHidden/>
                      </w:rPr>
                      <w:fldChar w:fldCharType="separate"/>
                    </w:r>
                    <w:r w:rsidR="006460ED">
                      <w:rPr>
                        <w:noProof/>
                        <w:webHidden/>
                      </w:rPr>
                      <w:t>13</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5" w:history="1">
                    <w:r w:rsidR="001025CD" w:rsidRPr="00212C2C">
                      <w:rPr>
                        <w:rStyle w:val="Hyperlink"/>
                        <w:noProof/>
                      </w:rPr>
                      <w:t>Điều 14.</w:t>
                    </w:r>
                    <w:r w:rsidR="001025CD" w:rsidRPr="00212C2C">
                      <w:rPr>
                        <w:rFonts w:asciiTheme="minorHAnsi" w:eastAsiaTheme="minorEastAsia" w:hAnsiTheme="minorHAnsi"/>
                        <w:noProof/>
                        <w:sz w:val="22"/>
                      </w:rPr>
                      <w:tab/>
                    </w:r>
                    <w:r w:rsidR="001025CD" w:rsidRPr="00212C2C">
                      <w:rPr>
                        <w:rStyle w:val="Hyperlink"/>
                        <w:noProof/>
                      </w:rPr>
                      <w:t>GIÁ TRỊ TÀI KHOẢN HƯU TRÍ</w:t>
                    </w:r>
                    <w:r w:rsidR="001025CD" w:rsidRPr="00212C2C">
                      <w:rPr>
                        <w:noProof/>
                        <w:webHidden/>
                      </w:rPr>
                      <w:tab/>
                    </w:r>
                    <w:r w:rsidRPr="00212C2C">
                      <w:rPr>
                        <w:noProof/>
                        <w:webHidden/>
                      </w:rPr>
                      <w:fldChar w:fldCharType="begin"/>
                    </w:r>
                    <w:r w:rsidR="001025CD" w:rsidRPr="00212C2C">
                      <w:rPr>
                        <w:noProof/>
                        <w:webHidden/>
                      </w:rPr>
                      <w:instrText xml:space="preserve"> PAGEREF _Toc498701185 \h </w:instrText>
                    </w:r>
                    <w:r w:rsidRPr="00212C2C">
                      <w:rPr>
                        <w:noProof/>
                        <w:webHidden/>
                      </w:rPr>
                    </w:r>
                    <w:r w:rsidRPr="00212C2C">
                      <w:rPr>
                        <w:noProof/>
                        <w:webHidden/>
                      </w:rPr>
                      <w:fldChar w:fldCharType="separate"/>
                    </w:r>
                    <w:r w:rsidR="006460ED">
                      <w:rPr>
                        <w:noProof/>
                        <w:webHidden/>
                      </w:rPr>
                      <w:t>14</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6" w:history="1">
                    <w:r w:rsidR="001025CD" w:rsidRPr="00212C2C">
                      <w:rPr>
                        <w:rStyle w:val="Hyperlink"/>
                        <w:noProof/>
                      </w:rPr>
                      <w:t>Điều 15.</w:t>
                    </w:r>
                    <w:r w:rsidR="001025CD" w:rsidRPr="00212C2C">
                      <w:rPr>
                        <w:rFonts w:asciiTheme="minorHAnsi" w:eastAsiaTheme="minorEastAsia" w:hAnsiTheme="minorHAnsi"/>
                        <w:noProof/>
                        <w:sz w:val="22"/>
                      </w:rPr>
                      <w:tab/>
                    </w:r>
                    <w:r w:rsidR="001025CD" w:rsidRPr="00212C2C">
                      <w:rPr>
                        <w:rStyle w:val="Hyperlink"/>
                        <w:noProof/>
                      </w:rPr>
                      <w:t>CÁC THAY ĐỔI TRONG QUÁ TRÌNH THỰC HIỆN HỢP ĐỒNG BẢO HIỂM</w:t>
                    </w:r>
                    <w:r w:rsidR="001025CD" w:rsidRPr="00212C2C">
                      <w:rPr>
                        <w:noProof/>
                        <w:webHidden/>
                      </w:rPr>
                      <w:tab/>
                    </w:r>
                    <w:r w:rsidRPr="00212C2C">
                      <w:rPr>
                        <w:noProof/>
                        <w:webHidden/>
                      </w:rPr>
                      <w:fldChar w:fldCharType="begin"/>
                    </w:r>
                    <w:r w:rsidR="001025CD" w:rsidRPr="00212C2C">
                      <w:rPr>
                        <w:noProof/>
                        <w:webHidden/>
                      </w:rPr>
                      <w:instrText xml:space="preserve"> PAGEREF _Toc498701186 \h </w:instrText>
                    </w:r>
                    <w:r w:rsidRPr="00212C2C">
                      <w:rPr>
                        <w:noProof/>
                        <w:webHidden/>
                      </w:rPr>
                    </w:r>
                    <w:r w:rsidRPr="00212C2C">
                      <w:rPr>
                        <w:noProof/>
                        <w:webHidden/>
                      </w:rPr>
                      <w:fldChar w:fldCharType="separate"/>
                    </w:r>
                    <w:r w:rsidR="006460ED">
                      <w:rPr>
                        <w:noProof/>
                        <w:webHidden/>
                      </w:rPr>
                      <w:t>14</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7" w:history="1">
                    <w:r w:rsidR="001025CD" w:rsidRPr="00212C2C">
                      <w:rPr>
                        <w:rStyle w:val="Hyperlink"/>
                        <w:noProof/>
                      </w:rPr>
                      <w:t>Điều 16.</w:t>
                    </w:r>
                    <w:r w:rsidR="001025CD" w:rsidRPr="00212C2C">
                      <w:rPr>
                        <w:rFonts w:asciiTheme="minorHAnsi" w:eastAsiaTheme="minorEastAsia" w:hAnsiTheme="minorHAnsi"/>
                        <w:noProof/>
                        <w:sz w:val="22"/>
                      </w:rPr>
                      <w:tab/>
                    </w:r>
                    <w:r w:rsidR="001025CD" w:rsidRPr="00212C2C">
                      <w:rPr>
                        <w:rStyle w:val="Hyperlink"/>
                        <w:noProof/>
                      </w:rPr>
                      <w:t>THỦ TỤC GIẢI QUYẾT QUYỀN LỢI BẢO HIỂM</w:t>
                    </w:r>
                    <w:r w:rsidR="001025CD" w:rsidRPr="00212C2C">
                      <w:rPr>
                        <w:noProof/>
                        <w:webHidden/>
                      </w:rPr>
                      <w:tab/>
                    </w:r>
                    <w:r w:rsidRPr="00212C2C">
                      <w:rPr>
                        <w:noProof/>
                        <w:webHidden/>
                      </w:rPr>
                      <w:fldChar w:fldCharType="begin"/>
                    </w:r>
                    <w:r w:rsidR="001025CD" w:rsidRPr="00212C2C">
                      <w:rPr>
                        <w:noProof/>
                        <w:webHidden/>
                      </w:rPr>
                      <w:instrText xml:space="preserve"> PAGEREF _Toc498701187 \h </w:instrText>
                    </w:r>
                    <w:r w:rsidRPr="00212C2C">
                      <w:rPr>
                        <w:noProof/>
                        <w:webHidden/>
                      </w:rPr>
                    </w:r>
                    <w:r w:rsidRPr="00212C2C">
                      <w:rPr>
                        <w:noProof/>
                        <w:webHidden/>
                      </w:rPr>
                      <w:fldChar w:fldCharType="separate"/>
                    </w:r>
                    <w:r w:rsidR="006460ED">
                      <w:rPr>
                        <w:noProof/>
                        <w:webHidden/>
                      </w:rPr>
                      <w:t>15</w:t>
                    </w:r>
                    <w:r w:rsidRPr="00212C2C">
                      <w:rPr>
                        <w:noProof/>
                        <w:webHidden/>
                      </w:rPr>
                      <w:fldChar w:fldCharType="end"/>
                    </w:r>
                  </w:hyperlink>
                </w:p>
                <w:p w:rsidR="001025CD" w:rsidRPr="00212C2C" w:rsidRDefault="00E305F7" w:rsidP="00212C2C">
                  <w:pPr>
                    <w:pStyle w:val="TOC1"/>
                    <w:rPr>
                      <w:rFonts w:asciiTheme="minorHAnsi" w:eastAsiaTheme="minorEastAsia" w:hAnsiTheme="minorHAnsi"/>
                      <w:noProof/>
                      <w:sz w:val="22"/>
                    </w:rPr>
                  </w:pPr>
                  <w:hyperlink w:anchor="_Toc498701188" w:history="1">
                    <w:r w:rsidR="001025CD" w:rsidRPr="00212C2C">
                      <w:rPr>
                        <w:rStyle w:val="Hyperlink"/>
                        <w:noProof/>
                      </w:rPr>
                      <w:t>Điều 17.</w:t>
                    </w:r>
                    <w:r w:rsidR="001025CD" w:rsidRPr="00212C2C">
                      <w:rPr>
                        <w:rFonts w:asciiTheme="minorHAnsi" w:eastAsiaTheme="minorEastAsia" w:hAnsiTheme="minorHAnsi"/>
                        <w:noProof/>
                        <w:sz w:val="22"/>
                      </w:rPr>
                      <w:tab/>
                    </w:r>
                    <w:r w:rsidR="001025CD" w:rsidRPr="00212C2C">
                      <w:rPr>
                        <w:rStyle w:val="Hyperlink"/>
                        <w:noProof/>
                      </w:rPr>
                      <w:t>LUẬT ÁP DỤNG VÀ GIẢI QUYẾT TRANH CHẤP</w:t>
                    </w:r>
                    <w:r w:rsidR="001025CD" w:rsidRPr="00212C2C">
                      <w:rPr>
                        <w:noProof/>
                        <w:webHidden/>
                      </w:rPr>
                      <w:tab/>
                    </w:r>
                    <w:r w:rsidRPr="00212C2C">
                      <w:rPr>
                        <w:noProof/>
                        <w:webHidden/>
                      </w:rPr>
                      <w:fldChar w:fldCharType="begin"/>
                    </w:r>
                    <w:r w:rsidR="001025CD" w:rsidRPr="00212C2C">
                      <w:rPr>
                        <w:noProof/>
                        <w:webHidden/>
                      </w:rPr>
                      <w:instrText xml:space="preserve"> PAGEREF _Toc498701188 \h </w:instrText>
                    </w:r>
                    <w:r w:rsidRPr="00212C2C">
                      <w:rPr>
                        <w:noProof/>
                        <w:webHidden/>
                      </w:rPr>
                    </w:r>
                    <w:r w:rsidRPr="00212C2C">
                      <w:rPr>
                        <w:noProof/>
                        <w:webHidden/>
                      </w:rPr>
                      <w:fldChar w:fldCharType="separate"/>
                    </w:r>
                    <w:r w:rsidR="006460ED">
                      <w:rPr>
                        <w:noProof/>
                        <w:webHidden/>
                      </w:rPr>
                      <w:t>17</w:t>
                    </w:r>
                    <w:r w:rsidRPr="00212C2C">
                      <w:rPr>
                        <w:noProof/>
                        <w:webHidden/>
                      </w:rPr>
                      <w:fldChar w:fldCharType="end"/>
                    </w:r>
                  </w:hyperlink>
                </w:p>
                <w:p w:rsidR="000D39D9" w:rsidRPr="00212C2C" w:rsidRDefault="00E305F7" w:rsidP="00212C2C">
                  <w:pPr>
                    <w:jc w:val="both"/>
                  </w:pPr>
                  <w:r w:rsidRPr="00212C2C">
                    <w:rPr>
                      <w:szCs w:val="24"/>
                    </w:rPr>
                    <w:fldChar w:fldCharType="end"/>
                  </w:r>
                </w:p>
              </w:sdtContent>
            </w:sdt>
          </w:sdtContent>
        </w:sdt>
      </w:sdtContent>
    </w:sdt>
    <w:p w:rsidR="00D45519" w:rsidRPr="00212C2C" w:rsidRDefault="00D45519" w:rsidP="00212C2C">
      <w:pPr>
        <w:jc w:val="both"/>
      </w:pPr>
      <w:r w:rsidRPr="00212C2C">
        <w:br w:type="page"/>
      </w:r>
    </w:p>
    <w:p w:rsidR="007A255D" w:rsidRPr="00A93525" w:rsidRDefault="00E92DBE" w:rsidP="00A93525">
      <w:pPr>
        <w:pStyle w:val="Heading1"/>
        <w:keepNext w:val="0"/>
        <w:keepLines w:val="0"/>
        <w:spacing w:before="0"/>
        <w:jc w:val="both"/>
      </w:pPr>
      <w:bookmarkStart w:id="0" w:name="_Toc494895872"/>
      <w:bookmarkStart w:id="1" w:name="_Toc494896150"/>
      <w:bookmarkStart w:id="2" w:name="_Toc494896240"/>
      <w:bookmarkStart w:id="3" w:name="_Toc494896363"/>
      <w:bookmarkStart w:id="4" w:name="_Toc494895873"/>
      <w:bookmarkStart w:id="5" w:name="_Toc494896151"/>
      <w:bookmarkStart w:id="6" w:name="_Toc494896241"/>
      <w:bookmarkStart w:id="7" w:name="_Toc494896364"/>
      <w:bookmarkStart w:id="8" w:name="_Toc496706455"/>
      <w:bookmarkStart w:id="9" w:name="_Toc496717739"/>
      <w:bookmarkStart w:id="10" w:name="_Toc498701172"/>
      <w:bookmarkEnd w:id="0"/>
      <w:bookmarkEnd w:id="1"/>
      <w:bookmarkEnd w:id="2"/>
      <w:bookmarkEnd w:id="3"/>
      <w:bookmarkEnd w:id="4"/>
      <w:bookmarkEnd w:id="5"/>
      <w:bookmarkEnd w:id="6"/>
      <w:bookmarkEnd w:id="7"/>
      <w:r w:rsidRPr="00A93525">
        <w:rPr>
          <w:caps w:val="0"/>
        </w:rPr>
        <w:lastRenderedPageBreak/>
        <w:t>ĐỊNH NGHĨA</w:t>
      </w:r>
      <w:bookmarkEnd w:id="8"/>
      <w:bookmarkEnd w:id="9"/>
      <w:bookmarkEnd w:id="10"/>
    </w:p>
    <w:p w:rsidR="00D60E8C" w:rsidRPr="00A93525" w:rsidRDefault="00D60E8C" w:rsidP="00212C2C">
      <w:pPr>
        <w:pStyle w:val="Dinhnghia"/>
        <w:ind w:hanging="612"/>
        <w:rPr>
          <w:szCs w:val="24"/>
        </w:rPr>
      </w:pPr>
      <w:r w:rsidRPr="00A93525">
        <w:rPr>
          <w:szCs w:val="24"/>
        </w:rPr>
        <w:t>“</w:t>
      </w:r>
      <w:r w:rsidRPr="00A93525">
        <w:rPr>
          <w:b/>
          <w:i/>
          <w:szCs w:val="24"/>
        </w:rPr>
        <w:t>Công ty</w:t>
      </w:r>
      <w:r w:rsidRPr="00A93525">
        <w:rPr>
          <w:szCs w:val="24"/>
        </w:rPr>
        <w:t>”: là Công ty TNHH Bảo hiểm Nhân thọ Sun Life Việt Nam, được Bộ Tài chính cấp Giấy phép Thành lập và Hoạt động số 68 GP/KDBH ngày 24/01/2013 (đã được sửa đổi bổ sung).</w:t>
      </w:r>
    </w:p>
    <w:p w:rsidR="00524BCF" w:rsidRPr="00A93525" w:rsidRDefault="00D60E8C" w:rsidP="00212C2C">
      <w:pPr>
        <w:pStyle w:val="Dinhnghia"/>
        <w:ind w:hanging="612"/>
        <w:rPr>
          <w:szCs w:val="24"/>
        </w:rPr>
      </w:pPr>
      <w:r w:rsidRPr="00A93525">
        <w:rPr>
          <w:szCs w:val="24"/>
        </w:rPr>
        <w:t>“</w:t>
      </w:r>
      <w:r w:rsidRPr="00A93525">
        <w:rPr>
          <w:b/>
          <w:i/>
          <w:szCs w:val="24"/>
        </w:rPr>
        <w:t>Bên mua bảo hiểm</w:t>
      </w:r>
      <w:r w:rsidRPr="00A93525">
        <w:rPr>
          <w:szCs w:val="24"/>
        </w:rPr>
        <w:t xml:space="preserve">”: </w:t>
      </w:r>
    </w:p>
    <w:p w:rsidR="005368E3" w:rsidRPr="00A93525" w:rsidRDefault="005368E3" w:rsidP="00212C2C">
      <w:pPr>
        <w:pStyle w:val="Dinhnghia"/>
        <w:numPr>
          <w:ilvl w:val="0"/>
          <w:numId w:val="64"/>
        </w:numPr>
        <w:rPr>
          <w:szCs w:val="24"/>
        </w:rPr>
      </w:pPr>
      <w:r w:rsidRPr="00A93525">
        <w:rPr>
          <w:szCs w:val="24"/>
        </w:rPr>
        <w:t>là tổ chức</w:t>
      </w:r>
      <w:r w:rsidR="00FE654F" w:rsidRPr="00A93525">
        <w:rPr>
          <w:szCs w:val="24"/>
        </w:rPr>
        <w:t>:</w:t>
      </w:r>
      <w:r w:rsidRPr="00A93525">
        <w:rPr>
          <w:szCs w:val="24"/>
        </w:rPr>
        <w:t xml:space="preserve"> đáp ứng các điều kiện sau:</w:t>
      </w:r>
    </w:p>
    <w:p w:rsidR="003A7B70" w:rsidRPr="00A93525" w:rsidRDefault="00D60E8C" w:rsidP="00212C2C">
      <w:pPr>
        <w:pStyle w:val="Dinhnghia"/>
        <w:numPr>
          <w:ilvl w:val="0"/>
          <w:numId w:val="65"/>
        </w:numPr>
        <w:rPr>
          <w:szCs w:val="24"/>
        </w:rPr>
      </w:pPr>
      <w:r w:rsidRPr="00A93525">
        <w:rPr>
          <w:szCs w:val="24"/>
        </w:rPr>
        <w:t>được thành lập và hoạt động hợp pháp tại Việt Nam</w:t>
      </w:r>
      <w:r w:rsidR="00524BCF" w:rsidRPr="00A93525">
        <w:rPr>
          <w:szCs w:val="24"/>
        </w:rPr>
        <w:t>,</w:t>
      </w:r>
      <w:r w:rsidR="00E307A9" w:rsidRPr="00A93525">
        <w:rPr>
          <w:szCs w:val="24"/>
        </w:rPr>
        <w:t xml:space="preserve"> </w:t>
      </w:r>
      <w:r w:rsidR="0020760C" w:rsidRPr="00A93525">
        <w:rPr>
          <w:szCs w:val="24"/>
        </w:rPr>
        <w:t xml:space="preserve">và </w:t>
      </w:r>
      <w:r w:rsidR="00524BCF" w:rsidRPr="00A93525">
        <w:rPr>
          <w:szCs w:val="24"/>
        </w:rPr>
        <w:t xml:space="preserve">mục đích chính của tổ chức này là hoạt động kinh doanh theo chức năng/ngành nghề đã được cơ quan </w:t>
      </w:r>
      <w:r w:rsidR="00B234DE" w:rsidRPr="00A93525">
        <w:rPr>
          <w:szCs w:val="24"/>
        </w:rPr>
        <w:t>N</w:t>
      </w:r>
      <w:r w:rsidR="00524BCF" w:rsidRPr="00A93525">
        <w:rPr>
          <w:szCs w:val="24"/>
        </w:rPr>
        <w:t xml:space="preserve">hà nước </w:t>
      </w:r>
      <w:r w:rsidR="00B234DE" w:rsidRPr="00A93525">
        <w:rPr>
          <w:szCs w:val="24"/>
        </w:rPr>
        <w:t xml:space="preserve">có thẩm quyền chấp thuận, </w:t>
      </w:r>
      <w:r w:rsidR="0020760C" w:rsidRPr="00A93525">
        <w:rPr>
          <w:szCs w:val="24"/>
        </w:rPr>
        <w:t>không phải vì mục đích duy nhất nhằm để mua bảo hiểm</w:t>
      </w:r>
      <w:r w:rsidR="003A7B70" w:rsidRPr="00A93525">
        <w:rPr>
          <w:szCs w:val="24"/>
        </w:rPr>
        <w:t>;</w:t>
      </w:r>
    </w:p>
    <w:p w:rsidR="00D60E8C" w:rsidRPr="00A93525" w:rsidRDefault="00E307A9" w:rsidP="00212C2C">
      <w:pPr>
        <w:pStyle w:val="Dinhnghia"/>
        <w:numPr>
          <w:ilvl w:val="0"/>
          <w:numId w:val="65"/>
        </w:numPr>
        <w:rPr>
          <w:szCs w:val="24"/>
        </w:rPr>
      </w:pPr>
      <w:r w:rsidRPr="00A93525">
        <w:rPr>
          <w:szCs w:val="24"/>
        </w:rPr>
        <w:t xml:space="preserve">có </w:t>
      </w:r>
      <w:r w:rsidR="00D60E8C" w:rsidRPr="00A93525">
        <w:rPr>
          <w:szCs w:val="24"/>
        </w:rPr>
        <w:t xml:space="preserve">yêu cầu </w:t>
      </w:r>
      <w:r w:rsidR="00326B7B" w:rsidRPr="00A93525">
        <w:rPr>
          <w:szCs w:val="24"/>
        </w:rPr>
        <w:t xml:space="preserve">tham gia </w:t>
      </w:r>
      <w:r w:rsidR="00D60E8C" w:rsidRPr="00A93525">
        <w:rPr>
          <w:szCs w:val="24"/>
        </w:rPr>
        <w:t>bảo hiểm</w:t>
      </w:r>
      <w:r w:rsidR="00326B7B" w:rsidRPr="00A93525">
        <w:rPr>
          <w:szCs w:val="24"/>
        </w:rPr>
        <w:t xml:space="preserve"> cho Người được bảo hiểm</w:t>
      </w:r>
      <w:r w:rsidR="00D60E8C" w:rsidRPr="00A93525">
        <w:rPr>
          <w:szCs w:val="24"/>
        </w:rPr>
        <w:t>, đóng phí bảo hiểm và thực hiện các quyền và nghĩa vụ quy định trong Hợp đồng bảo hiểm</w:t>
      </w:r>
      <w:r w:rsidR="00CF0D87" w:rsidRPr="00A93525">
        <w:rPr>
          <w:szCs w:val="24"/>
        </w:rPr>
        <w:t xml:space="preserve"> hưu trí</w:t>
      </w:r>
      <w:r w:rsidR="00D60E8C" w:rsidRPr="00A93525">
        <w:rPr>
          <w:szCs w:val="24"/>
        </w:rPr>
        <w:t>.</w:t>
      </w:r>
      <w:r w:rsidR="00D60E8C" w:rsidRPr="00A93525" w:rsidDel="00017FEE">
        <w:rPr>
          <w:szCs w:val="24"/>
        </w:rPr>
        <w:t xml:space="preserve"> </w:t>
      </w:r>
    </w:p>
    <w:p w:rsidR="009461E9" w:rsidRPr="00A93525" w:rsidRDefault="00DC22EF" w:rsidP="00212C2C">
      <w:pPr>
        <w:pStyle w:val="Dinhnghia"/>
        <w:numPr>
          <w:ilvl w:val="0"/>
          <w:numId w:val="0"/>
        </w:numPr>
        <w:ind w:left="1044" w:hanging="432"/>
        <w:rPr>
          <w:szCs w:val="24"/>
        </w:rPr>
      </w:pPr>
      <w:r w:rsidRPr="00A93525">
        <w:rPr>
          <w:szCs w:val="24"/>
        </w:rPr>
        <w:t>h</w:t>
      </w:r>
      <w:r w:rsidR="009461E9" w:rsidRPr="00A93525">
        <w:rPr>
          <w:szCs w:val="24"/>
        </w:rPr>
        <w:t>oặc</w:t>
      </w:r>
    </w:p>
    <w:p w:rsidR="00B234DE" w:rsidRPr="00A93525" w:rsidRDefault="004420AC" w:rsidP="00212C2C">
      <w:pPr>
        <w:pStyle w:val="Dinhnghia"/>
        <w:numPr>
          <w:ilvl w:val="0"/>
          <w:numId w:val="64"/>
        </w:numPr>
        <w:rPr>
          <w:szCs w:val="24"/>
        </w:rPr>
      </w:pPr>
      <w:r w:rsidRPr="00A93525">
        <w:rPr>
          <w:szCs w:val="24"/>
        </w:rPr>
        <w:t>là cá nhân</w:t>
      </w:r>
      <w:r w:rsidR="00227B54" w:rsidRPr="00A93525">
        <w:rPr>
          <w:szCs w:val="24"/>
        </w:rPr>
        <w:t xml:space="preserve"> </w:t>
      </w:r>
      <w:r w:rsidR="00227B54" w:rsidRPr="00A93525">
        <w:t>từ đủ 18 tuổi trở lên hiện đang sinh sống tại Việt Nam, có năng lực hành vi dân sự đầy đủ</w:t>
      </w:r>
      <w:r w:rsidR="00EA7EFF" w:rsidRPr="00A93525">
        <w:rPr>
          <w:szCs w:val="24"/>
        </w:rPr>
        <w:t>; là bên trực tiếp kê khai, ký tên trên Hồ sơ yêu cầu bảo hiểm, đóng phí bảo hiểm và thực hiện các quyền và nghĩa vụ quy định trong Hợp đồng bảo hiểm</w:t>
      </w:r>
      <w:r w:rsidR="00227B54" w:rsidRPr="00A93525">
        <w:rPr>
          <w:szCs w:val="24"/>
        </w:rPr>
        <w:t xml:space="preserve"> hưu trí</w:t>
      </w:r>
      <w:r w:rsidR="00EA7EFF" w:rsidRPr="00A93525">
        <w:rPr>
          <w:szCs w:val="24"/>
        </w:rPr>
        <w:t>.</w:t>
      </w:r>
    </w:p>
    <w:p w:rsidR="002C0B3A" w:rsidRPr="00A93525" w:rsidRDefault="00707E64" w:rsidP="00212C2C">
      <w:pPr>
        <w:pStyle w:val="Dinhnghia"/>
        <w:ind w:hanging="612"/>
        <w:rPr>
          <w:szCs w:val="24"/>
        </w:rPr>
      </w:pPr>
      <w:bookmarkStart w:id="11" w:name="_Ref472501150"/>
      <w:r w:rsidRPr="00A93525">
        <w:rPr>
          <w:szCs w:val="24"/>
        </w:rPr>
        <w:t xml:space="preserve"> </w:t>
      </w:r>
      <w:r w:rsidR="00D60E8C" w:rsidRPr="00A93525">
        <w:rPr>
          <w:szCs w:val="24"/>
        </w:rPr>
        <w:t>“</w:t>
      </w:r>
      <w:r w:rsidR="00D60E8C" w:rsidRPr="00A93525">
        <w:rPr>
          <w:b/>
          <w:i/>
          <w:szCs w:val="24"/>
        </w:rPr>
        <w:t>Người được bảo hiểm</w:t>
      </w:r>
      <w:r w:rsidR="00D60E8C" w:rsidRPr="00A93525">
        <w:rPr>
          <w:szCs w:val="24"/>
        </w:rPr>
        <w:t xml:space="preserve">”: là cá nhân </w:t>
      </w:r>
      <w:r w:rsidR="00A256C0" w:rsidRPr="00A93525">
        <w:rPr>
          <w:szCs w:val="24"/>
        </w:rPr>
        <w:t xml:space="preserve">cư trú tại Việt Nam, </w:t>
      </w:r>
      <w:r w:rsidR="00D60E8C" w:rsidRPr="00A93525">
        <w:rPr>
          <w:szCs w:val="24"/>
        </w:rPr>
        <w:t xml:space="preserve">có độ tuổi từ 18 đến </w:t>
      </w:r>
      <w:r w:rsidR="00181341" w:rsidRPr="00A93525">
        <w:rPr>
          <w:szCs w:val="24"/>
        </w:rPr>
        <w:t>54 đối với nữ và từ 18 đến 5</w:t>
      </w:r>
      <w:r w:rsidR="00FC2A7C" w:rsidRPr="00A93525">
        <w:rPr>
          <w:szCs w:val="24"/>
        </w:rPr>
        <w:t>9</w:t>
      </w:r>
      <w:r w:rsidR="00181341" w:rsidRPr="00A93525">
        <w:rPr>
          <w:szCs w:val="24"/>
        </w:rPr>
        <w:t xml:space="preserve"> đối với nam hoặc theo các thỏa thuận khác với Bên mua bảo hiểm nhưng không vượt quá tuổi 69</w:t>
      </w:r>
      <w:r w:rsidR="00364EEB" w:rsidRPr="00A93525">
        <w:rPr>
          <w:szCs w:val="24"/>
        </w:rPr>
        <w:t>;</w:t>
      </w:r>
      <w:r w:rsidR="00181341" w:rsidRPr="00A93525">
        <w:rPr>
          <w:szCs w:val="24"/>
        </w:rPr>
        <w:t xml:space="preserve"> và có quan hệ lao động với Bên mua bảo hi</w:t>
      </w:r>
      <w:r w:rsidR="00423026" w:rsidRPr="00A93525">
        <w:rPr>
          <w:szCs w:val="24"/>
        </w:rPr>
        <w:t xml:space="preserve">ểm trên cơ sở Hợp đồng lao động </w:t>
      </w:r>
      <w:r w:rsidR="00D60E8C" w:rsidRPr="00A93525">
        <w:rPr>
          <w:szCs w:val="24"/>
        </w:rPr>
        <w:t>vào Ngày hiệu lực hợp đồng</w:t>
      </w:r>
      <w:r w:rsidR="00364EEB" w:rsidRPr="00A93525">
        <w:rPr>
          <w:szCs w:val="24"/>
        </w:rPr>
        <w:t>;</w:t>
      </w:r>
      <w:r w:rsidR="00D60E8C" w:rsidRPr="00A93525">
        <w:rPr>
          <w:szCs w:val="24"/>
        </w:rPr>
        <w:t xml:space="preserve"> và được Công ty chấp nhận bảo hiểm theo Quy tắc và Điều khoản sản phẩm này.</w:t>
      </w:r>
      <w:bookmarkEnd w:id="11"/>
    </w:p>
    <w:p w:rsidR="00423026" w:rsidRPr="00A93525" w:rsidRDefault="00CC2623" w:rsidP="00212C2C">
      <w:pPr>
        <w:pStyle w:val="Dinhnghia"/>
        <w:ind w:hanging="612"/>
        <w:rPr>
          <w:rFonts w:eastAsiaTheme="minorHAnsi" w:cstheme="minorBidi"/>
          <w:szCs w:val="24"/>
        </w:rPr>
      </w:pPr>
      <w:r w:rsidRPr="00A93525">
        <w:rPr>
          <w:i/>
          <w:szCs w:val="24"/>
        </w:rPr>
        <w:t xml:space="preserve"> </w:t>
      </w:r>
      <w:r w:rsidR="00423026" w:rsidRPr="00A93525">
        <w:rPr>
          <w:i/>
          <w:szCs w:val="24"/>
        </w:rPr>
        <w:t>“</w:t>
      </w:r>
      <w:r w:rsidR="00423026" w:rsidRPr="00A93525">
        <w:rPr>
          <w:b/>
          <w:i/>
          <w:szCs w:val="24"/>
        </w:rPr>
        <w:t>Hợp đồng lao động</w:t>
      </w:r>
      <w:r w:rsidR="00423026" w:rsidRPr="00A93525">
        <w:rPr>
          <w:i/>
          <w:szCs w:val="24"/>
        </w:rPr>
        <w:t>”</w:t>
      </w:r>
      <w:r w:rsidR="00C13F17" w:rsidRPr="00A93525">
        <w:rPr>
          <w:szCs w:val="24"/>
        </w:rPr>
        <w:t>:</w:t>
      </w:r>
      <w:r w:rsidR="004F03F4" w:rsidRPr="00A93525">
        <w:rPr>
          <w:szCs w:val="24"/>
        </w:rPr>
        <w:t xml:space="preserve"> </w:t>
      </w:r>
      <w:r w:rsidR="006178DE" w:rsidRPr="00A93525">
        <w:rPr>
          <w:szCs w:val="24"/>
        </w:rPr>
        <w:t xml:space="preserve">là sự thỏa thuận giữa người lao động và người sử dụng lao động về việc làm có trả lương, điều kiện làm việc, quyền và nghĩa vụ của mỗi bên trong quan hệ lao động. Các văn bản hoặc thỏa thuận khác đáp ứng các yêu cầu trên đều được xem như Hợp đồng lao động. </w:t>
      </w:r>
    </w:p>
    <w:p w:rsidR="00D60E8C" w:rsidRPr="00A93525" w:rsidRDefault="00D60E8C" w:rsidP="00212C2C">
      <w:pPr>
        <w:numPr>
          <w:ilvl w:val="1"/>
          <w:numId w:val="2"/>
        </w:numPr>
        <w:spacing w:after="200" w:line="276" w:lineRule="auto"/>
        <w:ind w:left="720" w:hanging="720"/>
        <w:jc w:val="both"/>
        <w:rPr>
          <w:rFonts w:eastAsia="Times New Roman" w:cs="Times New Roman"/>
          <w:szCs w:val="24"/>
        </w:rPr>
      </w:pPr>
      <w:r w:rsidRPr="00A93525">
        <w:rPr>
          <w:rFonts w:eastAsia="Times New Roman" w:cs="Times New Roman"/>
          <w:szCs w:val="24"/>
        </w:rPr>
        <w:t>“</w:t>
      </w:r>
      <w:r w:rsidRPr="00A93525">
        <w:rPr>
          <w:rFonts w:eastAsia="Times New Roman" w:cs="Times New Roman"/>
          <w:b/>
          <w:i/>
          <w:szCs w:val="24"/>
        </w:rPr>
        <w:t>Người thụ hưởng</w:t>
      </w:r>
      <w:r w:rsidRPr="00A93525">
        <w:rPr>
          <w:rFonts w:eastAsia="Times New Roman" w:cs="Times New Roman"/>
          <w:szCs w:val="24"/>
        </w:rPr>
        <w:t xml:space="preserve">”: là cá nhân hoặc tổ chức được </w:t>
      </w:r>
      <w:r w:rsidR="00FC2A7C" w:rsidRPr="00A93525">
        <w:rPr>
          <w:rFonts w:eastAsia="Times New Roman" w:cs="Times New Roman"/>
          <w:szCs w:val="24"/>
        </w:rPr>
        <w:t>Người được</w:t>
      </w:r>
      <w:r w:rsidRPr="00A93525">
        <w:rPr>
          <w:rFonts w:eastAsia="Times New Roman" w:cs="Times New Roman"/>
          <w:szCs w:val="24"/>
        </w:rPr>
        <w:t xml:space="preserve"> bảo hiểm chỉ định nhận quyền lợi bảo hiểm theo </w:t>
      </w:r>
      <w:r w:rsidR="007B2090" w:rsidRPr="00A93525">
        <w:rPr>
          <w:rFonts w:eastAsia="Times New Roman" w:cs="Times New Roman"/>
          <w:szCs w:val="24"/>
        </w:rPr>
        <w:t xml:space="preserve">Quy tắc và Điều khoản sản phẩm </w:t>
      </w:r>
      <w:r w:rsidRPr="00A93525">
        <w:rPr>
          <w:rFonts w:eastAsia="Times New Roman" w:cs="Times New Roman"/>
          <w:szCs w:val="24"/>
        </w:rPr>
        <w:t xml:space="preserve">này. </w:t>
      </w:r>
    </w:p>
    <w:p w:rsidR="00D60E8C" w:rsidRPr="00A93525" w:rsidRDefault="00D60E8C" w:rsidP="00212C2C">
      <w:pPr>
        <w:ind w:left="720"/>
        <w:jc w:val="both"/>
        <w:rPr>
          <w:rFonts w:eastAsia="Times New Roman" w:cs="Times New Roman"/>
          <w:szCs w:val="24"/>
        </w:rPr>
      </w:pPr>
      <w:r w:rsidRPr="00A93525">
        <w:rPr>
          <w:rFonts w:eastAsia="Times New Roman" w:cs="Times New Roman"/>
          <w:szCs w:val="24"/>
        </w:rPr>
        <w:t xml:space="preserve">Người thụ hưởng được ghi tên trong </w:t>
      </w:r>
      <w:r w:rsidR="00CF0D87" w:rsidRPr="00A93525">
        <w:rPr>
          <w:rFonts w:eastAsia="Times New Roman" w:cs="Times New Roman"/>
          <w:szCs w:val="24"/>
        </w:rPr>
        <w:t>Hồ sơ đăng ký tham gia kế hoạch hưu trí</w:t>
      </w:r>
      <w:r w:rsidRPr="00A93525">
        <w:rPr>
          <w:rFonts w:eastAsia="Times New Roman" w:cs="Times New Roman"/>
          <w:szCs w:val="24"/>
        </w:rPr>
        <w:t xml:space="preserve">, </w:t>
      </w:r>
      <w:r w:rsidR="00184778" w:rsidRPr="00A93525">
        <w:rPr>
          <w:rFonts w:eastAsia="Times New Roman" w:cs="Times New Roman"/>
          <w:szCs w:val="24"/>
        </w:rPr>
        <w:t>Giấy chứng nhận bảo hiểm</w:t>
      </w:r>
      <w:r w:rsidRPr="00A93525">
        <w:rPr>
          <w:rFonts w:eastAsia="Times New Roman" w:cs="Times New Roman"/>
          <w:szCs w:val="24"/>
        </w:rPr>
        <w:t xml:space="preserve"> và các thỏa thuận bổ sung của </w:t>
      </w:r>
      <w:r w:rsidR="00701135" w:rsidRPr="00A93525">
        <w:rPr>
          <w:rFonts w:eastAsia="Times New Roman" w:cs="Times New Roman"/>
          <w:szCs w:val="24"/>
        </w:rPr>
        <w:t xml:space="preserve">Hợp đồng bảo hiểm hưu trí </w:t>
      </w:r>
      <w:r w:rsidRPr="00A93525">
        <w:rPr>
          <w:rFonts w:eastAsia="Times New Roman" w:cs="Times New Roman"/>
          <w:szCs w:val="24"/>
        </w:rPr>
        <w:t>(nếu có).</w:t>
      </w:r>
    </w:p>
    <w:p w:rsidR="00D60E8C" w:rsidRPr="00A93525" w:rsidRDefault="00D82498" w:rsidP="00212C2C">
      <w:pPr>
        <w:numPr>
          <w:ilvl w:val="1"/>
          <w:numId w:val="2"/>
        </w:numPr>
        <w:spacing w:after="200" w:line="276" w:lineRule="auto"/>
        <w:ind w:left="720" w:hanging="720"/>
        <w:jc w:val="both"/>
        <w:rPr>
          <w:rFonts w:eastAsia="Times New Roman" w:cs="Times New Roman"/>
          <w:szCs w:val="24"/>
        </w:rPr>
      </w:pPr>
      <w:r w:rsidRPr="00A93525">
        <w:rPr>
          <w:rFonts w:eastAsia="Times New Roman" w:cs="Times New Roman"/>
          <w:szCs w:val="24"/>
        </w:rPr>
        <w:t xml:space="preserve"> </w:t>
      </w:r>
      <w:r w:rsidR="00D60E8C" w:rsidRPr="00A93525">
        <w:rPr>
          <w:rFonts w:eastAsia="Times New Roman" w:cs="Times New Roman"/>
          <w:szCs w:val="24"/>
        </w:rPr>
        <w:t>“</w:t>
      </w:r>
      <w:r w:rsidR="00D60E8C" w:rsidRPr="00A93525">
        <w:rPr>
          <w:rFonts w:eastAsia="Times New Roman" w:cs="Times New Roman"/>
          <w:b/>
          <w:i/>
          <w:szCs w:val="24"/>
        </w:rPr>
        <w:t>Tuổi bảo hiểm</w:t>
      </w:r>
      <w:r w:rsidR="00D60E8C" w:rsidRPr="00A93525">
        <w:rPr>
          <w:rFonts w:eastAsia="Times New Roman" w:cs="Times New Roman"/>
          <w:szCs w:val="24"/>
        </w:rPr>
        <w:t xml:space="preserve">”: là tuổi của Người được bảo hiểm tính theo ngày sinh nhật gần nhất trước </w:t>
      </w:r>
      <w:r w:rsidR="007C2C2E" w:rsidRPr="00A93525">
        <w:rPr>
          <w:rFonts w:eastAsia="Times New Roman" w:cs="Times New Roman"/>
          <w:szCs w:val="24"/>
        </w:rPr>
        <w:t>N</w:t>
      </w:r>
      <w:r w:rsidR="00D60E8C" w:rsidRPr="00A93525">
        <w:rPr>
          <w:rFonts w:eastAsia="Times New Roman" w:cs="Times New Roman"/>
          <w:szCs w:val="24"/>
        </w:rPr>
        <w:t xml:space="preserve">gày hiệu lực </w:t>
      </w:r>
      <w:r w:rsidR="004740E9" w:rsidRPr="00A93525">
        <w:rPr>
          <w:rFonts w:eastAsia="Times New Roman" w:cs="Times New Roman"/>
          <w:szCs w:val="24"/>
        </w:rPr>
        <w:t>h</w:t>
      </w:r>
      <w:r w:rsidR="00D60E8C" w:rsidRPr="00A93525">
        <w:rPr>
          <w:rFonts w:eastAsia="Times New Roman" w:cs="Times New Roman"/>
          <w:szCs w:val="24"/>
        </w:rPr>
        <w:t xml:space="preserve">ợp đồng hoặc Ngày kỷ niệm hợp đồng trong các </w:t>
      </w:r>
      <w:r w:rsidR="00CF0D87" w:rsidRPr="00A93525">
        <w:rPr>
          <w:rFonts w:eastAsia="Times New Roman" w:cs="Times New Roman"/>
          <w:szCs w:val="24"/>
        </w:rPr>
        <w:t>N</w:t>
      </w:r>
      <w:r w:rsidR="00D60E8C" w:rsidRPr="00A93525">
        <w:rPr>
          <w:rFonts w:eastAsia="Times New Roman" w:cs="Times New Roman"/>
          <w:szCs w:val="24"/>
        </w:rPr>
        <w:t>ăm hợp đồng tiếp theo.</w:t>
      </w:r>
      <w:r w:rsidR="00D60E8C" w:rsidRPr="00A93525">
        <w:rPr>
          <w:rFonts w:eastAsia="Times New Roman" w:cs="Times New Roman"/>
          <w:i/>
          <w:szCs w:val="24"/>
          <w:lang w:val="vi-VN"/>
        </w:rPr>
        <w:t xml:space="preserve"> </w:t>
      </w:r>
    </w:p>
    <w:p w:rsidR="004740E9" w:rsidRPr="00A93525" w:rsidRDefault="004740E9" w:rsidP="00212C2C">
      <w:pPr>
        <w:numPr>
          <w:ilvl w:val="1"/>
          <w:numId w:val="2"/>
        </w:numPr>
        <w:spacing w:after="200" w:line="276" w:lineRule="auto"/>
        <w:ind w:left="720" w:hanging="720"/>
        <w:jc w:val="both"/>
        <w:rPr>
          <w:rFonts w:eastAsia="Times New Roman" w:cs="Times New Roman"/>
          <w:szCs w:val="24"/>
        </w:rPr>
      </w:pPr>
      <w:r w:rsidRPr="00A93525">
        <w:rPr>
          <w:rFonts w:eastAsia="Times New Roman" w:cs="Times New Roman"/>
          <w:szCs w:val="24"/>
        </w:rPr>
        <w:lastRenderedPageBreak/>
        <w:t>“</w:t>
      </w:r>
      <w:r w:rsidRPr="00A93525">
        <w:rPr>
          <w:rFonts w:eastAsia="Times New Roman" w:cs="Times New Roman"/>
          <w:b/>
          <w:i/>
          <w:szCs w:val="24"/>
        </w:rPr>
        <w:t>Tuổi nghỉ hưu</w:t>
      </w:r>
      <w:r w:rsidRPr="00A93525">
        <w:rPr>
          <w:rFonts w:eastAsia="Times New Roman" w:cs="Times New Roman"/>
          <w:szCs w:val="24"/>
        </w:rPr>
        <w:t xml:space="preserve">”: là </w:t>
      </w:r>
      <w:r w:rsidR="00764CBF" w:rsidRPr="00A93525">
        <w:rPr>
          <w:rFonts w:eastAsia="Times New Roman" w:cs="Times New Roman"/>
          <w:szCs w:val="24"/>
        </w:rPr>
        <w:t>t</w:t>
      </w:r>
      <w:r w:rsidRPr="00A93525">
        <w:rPr>
          <w:rFonts w:eastAsia="Times New Roman" w:cs="Times New Roman"/>
          <w:szCs w:val="24"/>
        </w:rPr>
        <w:t xml:space="preserve">uổi mà tại đó Người được bảo hiểm bắt đầu nhận Quyền lợi hưu trí. Tuổi nghỉ hưu bắt đầu từ </w:t>
      </w:r>
      <w:r w:rsidR="00764CBF" w:rsidRPr="00A93525">
        <w:rPr>
          <w:rFonts w:eastAsia="Times New Roman" w:cs="Times New Roman"/>
          <w:szCs w:val="24"/>
        </w:rPr>
        <w:t xml:space="preserve">ngày sinh nhật lần thứ </w:t>
      </w:r>
      <w:r w:rsidRPr="00A93525">
        <w:rPr>
          <w:rFonts w:eastAsia="Times New Roman" w:cs="Times New Roman"/>
          <w:szCs w:val="24"/>
        </w:rPr>
        <w:t xml:space="preserve">55 đối với nữ và 60 đối với nam, </w:t>
      </w:r>
      <w:r w:rsidRPr="00A93525">
        <w:rPr>
          <w:szCs w:val="24"/>
        </w:rPr>
        <w:t xml:space="preserve">hoặc theo các thỏa thuận khác với Bên mua bảo hiểm nhưng không vượt quá </w:t>
      </w:r>
      <w:r w:rsidR="00764CBF" w:rsidRPr="00A93525">
        <w:rPr>
          <w:szCs w:val="24"/>
        </w:rPr>
        <w:t xml:space="preserve">ngày sinh nhật lần thứ </w:t>
      </w:r>
      <w:r w:rsidRPr="00A93525">
        <w:rPr>
          <w:szCs w:val="24"/>
        </w:rPr>
        <w:t>70</w:t>
      </w:r>
      <w:r w:rsidRPr="00A93525">
        <w:rPr>
          <w:rFonts w:eastAsia="Times New Roman" w:cs="Times New Roman"/>
          <w:szCs w:val="24"/>
        </w:rPr>
        <w:t>.</w:t>
      </w:r>
      <w:r w:rsidRPr="00A93525">
        <w:rPr>
          <w:rFonts w:eastAsia="Times New Roman" w:cs="Times New Roman"/>
          <w:i/>
          <w:szCs w:val="24"/>
          <w:lang w:val="vi-VN"/>
        </w:rPr>
        <w:t xml:space="preserve"> </w:t>
      </w:r>
    </w:p>
    <w:p w:rsidR="00D60E8C" w:rsidRPr="00A93525" w:rsidRDefault="00D60E8C" w:rsidP="00212C2C">
      <w:pPr>
        <w:numPr>
          <w:ilvl w:val="1"/>
          <w:numId w:val="2"/>
        </w:numPr>
        <w:spacing w:after="200" w:line="276" w:lineRule="auto"/>
        <w:ind w:left="720" w:hanging="720"/>
        <w:jc w:val="both"/>
        <w:rPr>
          <w:rFonts w:eastAsia="Times New Roman" w:cs="Times New Roman"/>
          <w:szCs w:val="24"/>
        </w:rPr>
      </w:pPr>
      <w:r w:rsidRPr="00A93525">
        <w:rPr>
          <w:rFonts w:eastAsia="Times New Roman" w:cs="Times New Roman"/>
          <w:i/>
          <w:szCs w:val="24"/>
          <w:lang w:val="vi-VN"/>
        </w:rPr>
        <w:t>“</w:t>
      </w:r>
      <w:r w:rsidRPr="00A93525">
        <w:rPr>
          <w:rFonts w:eastAsia="Times New Roman" w:cs="Times New Roman"/>
          <w:b/>
          <w:i/>
          <w:szCs w:val="24"/>
          <w:lang w:val="vi-VN"/>
        </w:rPr>
        <w:t xml:space="preserve">Thời hạn </w:t>
      </w:r>
      <w:r w:rsidRPr="00A93525">
        <w:rPr>
          <w:rFonts w:eastAsia="Times New Roman" w:cs="Times New Roman"/>
          <w:b/>
          <w:i/>
          <w:szCs w:val="24"/>
        </w:rPr>
        <w:t>bảo hiểm</w:t>
      </w:r>
      <w:r w:rsidRPr="00A93525">
        <w:rPr>
          <w:rFonts w:eastAsia="Times New Roman" w:cs="Times New Roman"/>
          <w:szCs w:val="24"/>
          <w:lang w:val="vi-VN"/>
        </w:rPr>
        <w:t>”</w:t>
      </w:r>
      <w:r w:rsidRPr="00A93525">
        <w:rPr>
          <w:rFonts w:eastAsia="Times New Roman" w:cs="Times New Roman"/>
          <w:szCs w:val="24"/>
        </w:rPr>
        <w:t>:</w:t>
      </w:r>
      <w:r w:rsidR="004F03F4" w:rsidRPr="00A93525">
        <w:rPr>
          <w:rFonts w:eastAsia="Times New Roman" w:cs="Times New Roman"/>
          <w:szCs w:val="24"/>
          <w:lang w:val="vi-VN"/>
        </w:rPr>
        <w:t xml:space="preserve"> là thời gian có hiệu lực của </w:t>
      </w:r>
      <w:r w:rsidR="00701135" w:rsidRPr="00A93525">
        <w:rPr>
          <w:rFonts w:eastAsia="Times New Roman" w:cs="Times New Roman"/>
          <w:szCs w:val="24"/>
        </w:rPr>
        <w:t>Hợp đồng bảo hiểm hưu</w:t>
      </w:r>
      <w:r w:rsidR="00CF0D87" w:rsidRPr="00A93525">
        <w:rPr>
          <w:rFonts w:eastAsia="Times New Roman" w:cs="Times New Roman"/>
          <w:szCs w:val="24"/>
        </w:rPr>
        <w:t xml:space="preserve"> trí</w:t>
      </w:r>
      <w:r w:rsidRPr="00A93525">
        <w:rPr>
          <w:rFonts w:eastAsia="Times New Roman" w:cs="Times New Roman"/>
          <w:szCs w:val="24"/>
          <w:lang w:val="vi-VN"/>
        </w:rPr>
        <w:t xml:space="preserve">. </w:t>
      </w:r>
      <w:r w:rsidRPr="00A93525">
        <w:rPr>
          <w:rFonts w:eastAsia="Times New Roman" w:cs="Times New Roman"/>
          <w:szCs w:val="24"/>
        </w:rPr>
        <w:t>Thời h</w:t>
      </w:r>
      <w:r w:rsidR="00F24DCF" w:rsidRPr="00A93525">
        <w:rPr>
          <w:rFonts w:eastAsia="Times New Roman" w:cs="Times New Roman"/>
          <w:szCs w:val="24"/>
        </w:rPr>
        <w:t xml:space="preserve">ạn bảo hiểm của sản phẩm này bao gồm </w:t>
      </w:r>
      <w:r w:rsidR="00FA36D5" w:rsidRPr="00A93525">
        <w:rPr>
          <w:rFonts w:eastAsia="Times New Roman" w:cs="Times New Roman"/>
          <w:szCs w:val="24"/>
        </w:rPr>
        <w:t>Thời hạn tích lũy</w:t>
      </w:r>
      <w:r w:rsidR="00F24DCF" w:rsidRPr="00A93525">
        <w:rPr>
          <w:rFonts w:eastAsia="Times New Roman" w:cs="Times New Roman"/>
          <w:szCs w:val="24"/>
        </w:rPr>
        <w:t xml:space="preserve"> và </w:t>
      </w:r>
      <w:r w:rsidR="004740E9" w:rsidRPr="00A93525">
        <w:rPr>
          <w:rFonts w:eastAsia="Times New Roman" w:cs="Times New Roman"/>
          <w:szCs w:val="24"/>
        </w:rPr>
        <w:t>T</w:t>
      </w:r>
      <w:r w:rsidR="00F24DCF" w:rsidRPr="00A93525">
        <w:rPr>
          <w:rFonts w:eastAsia="Times New Roman" w:cs="Times New Roman"/>
          <w:szCs w:val="24"/>
        </w:rPr>
        <w:t>hời hạn chi trả</w:t>
      </w:r>
      <w:r w:rsidR="007C2C2E" w:rsidRPr="00A93525">
        <w:rPr>
          <w:rFonts w:eastAsia="Times New Roman" w:cs="Times New Roman"/>
          <w:szCs w:val="24"/>
        </w:rPr>
        <w:t>.</w:t>
      </w:r>
    </w:p>
    <w:p w:rsidR="007C2C2E" w:rsidRPr="00A93525" w:rsidRDefault="007C2C2E" w:rsidP="00212C2C">
      <w:pPr>
        <w:pStyle w:val="Dinhnghia"/>
        <w:ind w:left="720" w:hanging="702"/>
        <w:rPr>
          <w:szCs w:val="24"/>
          <w:lang w:val="vi-VN"/>
        </w:rPr>
      </w:pPr>
      <w:r w:rsidRPr="00A93525">
        <w:rPr>
          <w:szCs w:val="24"/>
        </w:rPr>
        <w:t>“</w:t>
      </w:r>
      <w:r w:rsidR="00FA36D5" w:rsidRPr="00A93525">
        <w:rPr>
          <w:b/>
          <w:i/>
          <w:szCs w:val="24"/>
        </w:rPr>
        <w:t>Thời hạn tích lũy</w:t>
      </w:r>
      <w:r w:rsidRPr="00A93525">
        <w:rPr>
          <w:szCs w:val="24"/>
        </w:rPr>
        <w:t xml:space="preserve">”: </w:t>
      </w:r>
      <w:r w:rsidR="00713A0F" w:rsidRPr="00A93525">
        <w:rPr>
          <w:szCs w:val="24"/>
        </w:rPr>
        <w:t xml:space="preserve">là thời gian Bên mua bảo hiểm và/hoặc Người được bảo hiểm có thể đóng Phí bảo hiểm cơ bản và Phí bảo hiểm đóng thêm (nếu có). Thời hạn tích lũy được tính </w:t>
      </w:r>
      <w:r w:rsidR="00D72C56" w:rsidRPr="00A93525">
        <w:rPr>
          <w:szCs w:val="24"/>
        </w:rPr>
        <w:t xml:space="preserve">bằng Tuổi nghỉ hưu </w:t>
      </w:r>
      <w:r w:rsidR="00713A0F" w:rsidRPr="00A93525">
        <w:rPr>
          <w:szCs w:val="24"/>
        </w:rPr>
        <w:t>t</w:t>
      </w:r>
      <w:r w:rsidR="00D72C56" w:rsidRPr="00A93525">
        <w:rPr>
          <w:szCs w:val="24"/>
        </w:rPr>
        <w:t>r</w:t>
      </w:r>
      <w:r w:rsidR="00713A0F" w:rsidRPr="00A93525">
        <w:rPr>
          <w:szCs w:val="24"/>
        </w:rPr>
        <w:t xml:space="preserve">ừ tuổi của Người được bảo hiểm tại thời điểm tham gia </w:t>
      </w:r>
      <w:r w:rsidR="00D72C56" w:rsidRPr="00A93525">
        <w:rPr>
          <w:szCs w:val="24"/>
        </w:rPr>
        <w:t xml:space="preserve">Hợp đồng </w:t>
      </w:r>
      <w:r w:rsidR="00713A0F" w:rsidRPr="00A93525">
        <w:rPr>
          <w:szCs w:val="24"/>
        </w:rPr>
        <w:t>bảo hiểm</w:t>
      </w:r>
      <w:r w:rsidR="00D72C56" w:rsidRPr="00A93525">
        <w:rPr>
          <w:szCs w:val="24"/>
        </w:rPr>
        <w:t xml:space="preserve"> hưu trí</w:t>
      </w:r>
      <w:r w:rsidR="00713A0F" w:rsidRPr="00A93525">
        <w:rPr>
          <w:szCs w:val="24"/>
        </w:rPr>
        <w:t xml:space="preserve"> hoặc tại thời điểm Giá trị tài khoản hưu trí được chuyển đến từ doanh nghiệp bảo hiểm khác. Thời hạn tích lũy chấm dứt khi Người được bảo hiểm đạt Tuổi nghỉ hưu.</w:t>
      </w:r>
      <w:r w:rsidRPr="00A93525">
        <w:rPr>
          <w:szCs w:val="24"/>
        </w:rPr>
        <w:t xml:space="preserve"> </w:t>
      </w:r>
    </w:p>
    <w:p w:rsidR="007C2C2E" w:rsidRPr="00A93525" w:rsidRDefault="007C2C2E" w:rsidP="00212C2C">
      <w:pPr>
        <w:pStyle w:val="Dinhnghia"/>
        <w:ind w:left="720" w:hanging="702"/>
        <w:rPr>
          <w:szCs w:val="24"/>
        </w:rPr>
      </w:pPr>
      <w:r w:rsidRPr="00A93525">
        <w:rPr>
          <w:i/>
          <w:szCs w:val="24"/>
        </w:rPr>
        <w:t>“</w:t>
      </w:r>
      <w:r w:rsidRPr="00A93525">
        <w:rPr>
          <w:b/>
          <w:i/>
          <w:szCs w:val="24"/>
        </w:rPr>
        <w:t>Thời hạn chi trả</w:t>
      </w:r>
      <w:r w:rsidRPr="00A93525">
        <w:rPr>
          <w:i/>
          <w:szCs w:val="24"/>
        </w:rPr>
        <w:t>”</w:t>
      </w:r>
      <w:r w:rsidRPr="00A93525">
        <w:rPr>
          <w:szCs w:val="24"/>
        </w:rPr>
        <w:t xml:space="preserve">: là thời gian Công ty chi trả quyền lợi hưu trí cho Người được bảo hiểm. Thời hạn chi trả bắt đầu từ </w:t>
      </w:r>
      <w:r w:rsidR="009457F8" w:rsidRPr="00A93525">
        <w:rPr>
          <w:szCs w:val="24"/>
        </w:rPr>
        <w:t xml:space="preserve">Tuổi nghỉ hưu </w:t>
      </w:r>
      <w:r w:rsidRPr="00A93525">
        <w:rPr>
          <w:szCs w:val="24"/>
        </w:rPr>
        <w:t xml:space="preserve">đến </w:t>
      </w:r>
      <w:r w:rsidR="009457F8" w:rsidRPr="00A93525">
        <w:rPr>
          <w:szCs w:val="24"/>
        </w:rPr>
        <w:t xml:space="preserve">khi Giá trị tài khoản </w:t>
      </w:r>
      <w:r w:rsidR="00453E95" w:rsidRPr="00A93525">
        <w:rPr>
          <w:szCs w:val="24"/>
        </w:rPr>
        <w:t>hưu trí được chi trả toàn bộ, tối thiểu là 15 năm</w:t>
      </w:r>
      <w:r w:rsidRPr="00A93525">
        <w:rPr>
          <w:szCs w:val="24"/>
        </w:rPr>
        <w:t>.</w:t>
      </w:r>
    </w:p>
    <w:p w:rsidR="00D60E8C" w:rsidRPr="00A93525" w:rsidRDefault="00D60E8C" w:rsidP="00212C2C">
      <w:pPr>
        <w:numPr>
          <w:ilvl w:val="1"/>
          <w:numId w:val="2"/>
        </w:numPr>
        <w:spacing w:after="200" w:line="276" w:lineRule="auto"/>
        <w:ind w:left="720" w:hanging="720"/>
        <w:jc w:val="both"/>
        <w:rPr>
          <w:rFonts w:eastAsia="Times New Roman" w:cs="Times New Roman"/>
          <w:szCs w:val="24"/>
        </w:rPr>
      </w:pPr>
      <w:r w:rsidRPr="00A93525">
        <w:rPr>
          <w:b/>
          <w:i/>
          <w:szCs w:val="24"/>
        </w:rPr>
        <w:t xml:space="preserve"> “Số tiền bảo hiểm</w:t>
      </w:r>
      <w:r w:rsidRPr="00A93525">
        <w:rPr>
          <w:i/>
          <w:szCs w:val="24"/>
        </w:rPr>
        <w:t>”</w:t>
      </w:r>
      <w:r w:rsidRPr="00A93525">
        <w:rPr>
          <w:szCs w:val="24"/>
        </w:rPr>
        <w:t xml:space="preserve">: là số tiền Công ty chấp thuận bảo hiểm theo Quy tắc và Điều khoản sản phẩm này và được ghi trên </w:t>
      </w:r>
      <w:r w:rsidR="00184778" w:rsidRPr="00A93525">
        <w:rPr>
          <w:szCs w:val="24"/>
        </w:rPr>
        <w:t>Giấy chứng nhận bảo hiểm</w:t>
      </w:r>
      <w:r w:rsidRPr="00A93525">
        <w:rPr>
          <w:szCs w:val="24"/>
        </w:rPr>
        <w:t xml:space="preserve"> và/hoặc tài liệu sửa đổi, bổ sung liên quan gần nhất</w:t>
      </w:r>
      <w:r w:rsidR="00E62061" w:rsidRPr="00A93525">
        <w:rPr>
          <w:szCs w:val="24"/>
        </w:rPr>
        <w:t xml:space="preserve"> (nếu có)</w:t>
      </w:r>
      <w:r w:rsidRPr="00A93525">
        <w:rPr>
          <w:szCs w:val="24"/>
        </w:rPr>
        <w:t>.</w:t>
      </w:r>
    </w:p>
    <w:p w:rsidR="00D60E8C" w:rsidRPr="00A93525" w:rsidRDefault="00D60E8C" w:rsidP="00212C2C">
      <w:pPr>
        <w:pStyle w:val="Dinhnghia"/>
        <w:ind w:left="720" w:hanging="702"/>
        <w:rPr>
          <w:szCs w:val="24"/>
        </w:rPr>
      </w:pPr>
      <w:r w:rsidRPr="00A93525">
        <w:rPr>
          <w:szCs w:val="24"/>
        </w:rPr>
        <w:t>“</w:t>
      </w:r>
      <w:r w:rsidRPr="00A93525">
        <w:rPr>
          <w:b/>
          <w:i/>
          <w:szCs w:val="24"/>
        </w:rPr>
        <w:t xml:space="preserve">Phí </w:t>
      </w:r>
      <w:r w:rsidR="00FB4F22" w:rsidRPr="00A93525">
        <w:rPr>
          <w:b/>
          <w:i/>
          <w:szCs w:val="24"/>
        </w:rPr>
        <w:t xml:space="preserve">bảo hiểm </w:t>
      </w:r>
      <w:r w:rsidRPr="00A93525">
        <w:rPr>
          <w:b/>
          <w:i/>
          <w:szCs w:val="24"/>
        </w:rPr>
        <w:t>cơ bản</w:t>
      </w:r>
      <w:r w:rsidR="002F4BA1">
        <w:rPr>
          <w:i/>
          <w:szCs w:val="24"/>
        </w:rPr>
        <w:t>”</w:t>
      </w:r>
      <w:r w:rsidR="00526822" w:rsidRPr="00A93525">
        <w:rPr>
          <w:rFonts w:eastAsiaTheme="minorHAnsi" w:cstheme="minorBidi"/>
          <w:szCs w:val="24"/>
        </w:rPr>
        <w:t>:</w:t>
      </w:r>
      <w:r w:rsidRPr="00A93525">
        <w:rPr>
          <w:rFonts w:eastAsiaTheme="minorHAnsi" w:cstheme="minorBidi"/>
          <w:szCs w:val="24"/>
        </w:rPr>
        <w:t xml:space="preserve"> </w:t>
      </w:r>
      <w:r w:rsidR="00E84674" w:rsidRPr="00A93525">
        <w:rPr>
          <w:rFonts w:eastAsiaTheme="minorHAnsi" w:cstheme="minorBidi"/>
          <w:szCs w:val="24"/>
        </w:rPr>
        <w:t>là khoản phí bảo hiểm được tính toán dựa trên Số tiền bảo hiểm, tuổi và giới tính của Người được bảo hiểm tại thời điểm tham gia Hợp đồng bảo hiểm</w:t>
      </w:r>
      <w:r w:rsidR="00E84674" w:rsidRPr="00A93525" w:rsidDel="00E84674">
        <w:rPr>
          <w:rFonts w:eastAsiaTheme="minorHAnsi" w:cstheme="minorBidi"/>
          <w:szCs w:val="24"/>
        </w:rPr>
        <w:t xml:space="preserve"> </w:t>
      </w:r>
      <w:r w:rsidR="00E84674" w:rsidRPr="00A93525">
        <w:rPr>
          <w:rFonts w:eastAsiaTheme="minorHAnsi" w:cstheme="minorBidi"/>
          <w:szCs w:val="24"/>
        </w:rPr>
        <w:t>hưu trí</w:t>
      </w:r>
      <w:r w:rsidR="00491DC1" w:rsidRPr="00A93525">
        <w:rPr>
          <w:rFonts w:eastAsiaTheme="minorHAnsi" w:cstheme="minorBidi"/>
          <w:szCs w:val="24"/>
        </w:rPr>
        <w:t xml:space="preserve"> </w:t>
      </w:r>
      <w:r w:rsidR="00491DC1" w:rsidRPr="00A93525">
        <w:rPr>
          <w:szCs w:val="24"/>
        </w:rPr>
        <w:t>hoặc tại thời điểm Giá trị tài khoản hưu trí được chuyển đến từ doanh nghiệp bảo hiểm khác</w:t>
      </w:r>
      <w:r w:rsidR="00E84674" w:rsidRPr="00A93525">
        <w:rPr>
          <w:rFonts w:eastAsiaTheme="minorHAnsi" w:cstheme="minorBidi"/>
          <w:szCs w:val="24"/>
        </w:rPr>
        <w:t xml:space="preserve">. Phí bảo hiểm cơ bản được ghi trên Giấy chứng nhận bảo hiểm và/hoặc tài liệu sửa đổi, bổ sung liên quan gần nhất (nếu có). </w:t>
      </w:r>
    </w:p>
    <w:p w:rsidR="008B21DF" w:rsidRPr="00A93525" w:rsidRDefault="00D60E8C" w:rsidP="00212C2C">
      <w:pPr>
        <w:pStyle w:val="Dinhnghia"/>
        <w:ind w:left="720" w:hanging="702"/>
        <w:rPr>
          <w:szCs w:val="24"/>
        </w:rPr>
      </w:pPr>
      <w:r w:rsidRPr="00A93525">
        <w:rPr>
          <w:szCs w:val="24"/>
        </w:rPr>
        <w:t>“</w:t>
      </w:r>
      <w:r w:rsidRPr="00A93525">
        <w:rPr>
          <w:b/>
          <w:i/>
          <w:szCs w:val="24"/>
        </w:rPr>
        <w:t xml:space="preserve">Phí </w:t>
      </w:r>
      <w:r w:rsidR="00FB4F22" w:rsidRPr="00A93525">
        <w:rPr>
          <w:b/>
          <w:i/>
          <w:szCs w:val="24"/>
        </w:rPr>
        <w:t xml:space="preserve">bảo hiểm </w:t>
      </w:r>
      <w:r w:rsidRPr="00A93525">
        <w:rPr>
          <w:b/>
          <w:i/>
          <w:szCs w:val="24"/>
        </w:rPr>
        <w:t>đóng thêm</w:t>
      </w:r>
      <w:r w:rsidRPr="00A93525">
        <w:rPr>
          <w:i/>
          <w:szCs w:val="24"/>
        </w:rPr>
        <w:t>’’</w:t>
      </w:r>
      <w:r w:rsidR="00526822" w:rsidRPr="00A93525">
        <w:rPr>
          <w:szCs w:val="24"/>
        </w:rPr>
        <w:t>:</w:t>
      </w:r>
      <w:r w:rsidRPr="00A93525">
        <w:rPr>
          <w:szCs w:val="24"/>
        </w:rPr>
        <w:t xml:space="preserve"> là khoản </w:t>
      </w:r>
      <w:r w:rsidR="00453E95" w:rsidRPr="00A93525">
        <w:rPr>
          <w:szCs w:val="24"/>
        </w:rPr>
        <w:t xml:space="preserve">đóng góp thêm ngoài </w:t>
      </w:r>
      <w:r w:rsidR="00CF0D87" w:rsidRPr="00A93525">
        <w:rPr>
          <w:szCs w:val="24"/>
        </w:rPr>
        <w:t>Phí bảo hiểm cơ bản</w:t>
      </w:r>
      <w:r w:rsidR="00453E95" w:rsidRPr="00A93525">
        <w:rPr>
          <w:szCs w:val="24"/>
        </w:rPr>
        <w:t xml:space="preserve"> </w:t>
      </w:r>
      <w:r w:rsidR="00106A94" w:rsidRPr="00A93525">
        <w:rPr>
          <w:szCs w:val="24"/>
        </w:rPr>
        <w:t>của Năm hợp đồng hiện tại</w:t>
      </w:r>
      <w:r w:rsidRPr="00A93525">
        <w:rPr>
          <w:szCs w:val="24"/>
        </w:rPr>
        <w:t>.</w:t>
      </w:r>
      <w:r w:rsidR="007928B9" w:rsidRPr="00A93525">
        <w:rPr>
          <w:szCs w:val="24"/>
        </w:rPr>
        <w:t xml:space="preserve"> </w:t>
      </w:r>
    </w:p>
    <w:p w:rsidR="00526822" w:rsidRPr="00A93525" w:rsidRDefault="00526822" w:rsidP="00212C2C">
      <w:pPr>
        <w:pStyle w:val="Dinhnghia"/>
        <w:ind w:left="720" w:hanging="702"/>
        <w:rPr>
          <w:szCs w:val="24"/>
        </w:rPr>
      </w:pPr>
      <w:r w:rsidRPr="00A93525">
        <w:rPr>
          <w:szCs w:val="24"/>
        </w:rPr>
        <w:t>“</w:t>
      </w:r>
      <w:r w:rsidRPr="00A93525">
        <w:rPr>
          <w:b/>
          <w:i/>
          <w:szCs w:val="24"/>
        </w:rPr>
        <w:t>Ngày hiệu lực hợp đồng</w:t>
      </w:r>
      <w:r w:rsidRPr="00A93525">
        <w:rPr>
          <w:szCs w:val="24"/>
        </w:rPr>
        <w:t>”</w:t>
      </w:r>
      <w:r w:rsidR="00453E95" w:rsidRPr="00A93525">
        <w:rPr>
          <w:szCs w:val="24"/>
        </w:rPr>
        <w:t>:</w:t>
      </w:r>
      <w:r w:rsidRPr="00A93525">
        <w:rPr>
          <w:szCs w:val="24"/>
        </w:rPr>
        <w:t xml:space="preserve"> đối với mỗi Người được bảo hiểm là ngày </w:t>
      </w:r>
      <w:r w:rsidR="00453E95" w:rsidRPr="00A93525">
        <w:rPr>
          <w:szCs w:val="24"/>
        </w:rPr>
        <w:t xml:space="preserve">Bên mua bảo hiểm hoàn tất </w:t>
      </w:r>
      <w:r w:rsidR="00CF0D87" w:rsidRPr="00A93525">
        <w:rPr>
          <w:szCs w:val="24"/>
        </w:rPr>
        <w:t>Hồ sơ đăng ký tham gia kế hoạch hưu trí</w:t>
      </w:r>
      <w:r w:rsidR="00453E95" w:rsidRPr="00A93525">
        <w:rPr>
          <w:szCs w:val="24"/>
        </w:rPr>
        <w:t xml:space="preserve">, đồng thời </w:t>
      </w:r>
      <w:r w:rsidRPr="00A93525">
        <w:rPr>
          <w:szCs w:val="24"/>
        </w:rPr>
        <w:t xml:space="preserve">Công ty nhận được phí bảo hiểm từ Bên mua bảo hiểm và/hoặc Người được bảo hiểm hoặc Giá trị tài khoản </w:t>
      </w:r>
      <w:r w:rsidR="00453E95" w:rsidRPr="00A93525">
        <w:rPr>
          <w:szCs w:val="24"/>
        </w:rPr>
        <w:t xml:space="preserve">hưu trí </w:t>
      </w:r>
      <w:r w:rsidRPr="00A93525">
        <w:rPr>
          <w:szCs w:val="24"/>
        </w:rPr>
        <w:t>chuyển đến từ doanh nghiệp bảo hiểm khác.</w:t>
      </w:r>
    </w:p>
    <w:p w:rsidR="00526822" w:rsidRPr="00A93525" w:rsidRDefault="00526822" w:rsidP="00212C2C">
      <w:pPr>
        <w:pStyle w:val="Dinhnghia"/>
        <w:ind w:left="720" w:hanging="702"/>
        <w:rPr>
          <w:b/>
          <w:i/>
          <w:szCs w:val="24"/>
        </w:rPr>
      </w:pPr>
      <w:r w:rsidRPr="00A93525">
        <w:rPr>
          <w:b/>
          <w:i/>
          <w:szCs w:val="24"/>
        </w:rPr>
        <w:t>“Ngày đến hạn đóng phí”</w:t>
      </w:r>
      <w:r w:rsidR="005F6A30" w:rsidRPr="00A93525">
        <w:rPr>
          <w:b/>
          <w:i/>
          <w:szCs w:val="24"/>
        </w:rPr>
        <w:t>:</w:t>
      </w:r>
      <w:r w:rsidRPr="00A93525">
        <w:rPr>
          <w:b/>
          <w:i/>
          <w:szCs w:val="24"/>
        </w:rPr>
        <w:t xml:space="preserve"> </w:t>
      </w:r>
      <w:r w:rsidRPr="00A93525">
        <w:rPr>
          <w:szCs w:val="24"/>
        </w:rPr>
        <w:t xml:space="preserve">là </w:t>
      </w:r>
      <w:r w:rsidR="00747E2D" w:rsidRPr="00A93525">
        <w:rPr>
          <w:szCs w:val="24"/>
        </w:rPr>
        <w:t xml:space="preserve">ngày nộp </w:t>
      </w:r>
      <w:r w:rsidR="00CF0D87" w:rsidRPr="00A93525">
        <w:rPr>
          <w:szCs w:val="24"/>
        </w:rPr>
        <w:t>Phí bảo hiểm cơ bản</w:t>
      </w:r>
      <w:r w:rsidR="00453E95" w:rsidRPr="00A93525">
        <w:rPr>
          <w:szCs w:val="24"/>
        </w:rPr>
        <w:t xml:space="preserve"> theo </w:t>
      </w:r>
      <w:r w:rsidR="00747E2D" w:rsidRPr="00A93525">
        <w:rPr>
          <w:szCs w:val="24"/>
        </w:rPr>
        <w:t xml:space="preserve">định kỳ </w:t>
      </w:r>
      <w:r w:rsidR="00453E95" w:rsidRPr="00A93525">
        <w:rPr>
          <w:szCs w:val="24"/>
        </w:rPr>
        <w:t xml:space="preserve">được </w:t>
      </w:r>
      <w:r w:rsidR="00747E2D" w:rsidRPr="00A93525">
        <w:rPr>
          <w:szCs w:val="24"/>
        </w:rPr>
        <w:t xml:space="preserve">thỏa thuận tại </w:t>
      </w:r>
      <w:r w:rsidR="00701135" w:rsidRPr="00A93525">
        <w:rPr>
          <w:szCs w:val="24"/>
        </w:rPr>
        <w:t xml:space="preserve">Hợp đồng bảo hiểm hưu trí </w:t>
      </w:r>
      <w:r w:rsidR="00747E2D" w:rsidRPr="00A93525">
        <w:rPr>
          <w:szCs w:val="24"/>
        </w:rPr>
        <w:t>hoặc các sửa đổi, bổ sung liên quan gần nhất (nếu có)</w:t>
      </w:r>
      <w:r w:rsidR="00A256C0" w:rsidRPr="00A93525">
        <w:rPr>
          <w:szCs w:val="24"/>
        </w:rPr>
        <w:t>.</w:t>
      </w:r>
    </w:p>
    <w:p w:rsidR="00526822" w:rsidRPr="00A93525" w:rsidRDefault="0087254F" w:rsidP="00212C2C">
      <w:pPr>
        <w:pStyle w:val="Dinhnghia"/>
        <w:ind w:left="720" w:hanging="702"/>
        <w:rPr>
          <w:szCs w:val="24"/>
        </w:rPr>
      </w:pPr>
      <w:r w:rsidRPr="00A93525" w:rsidDel="0087254F">
        <w:rPr>
          <w:b/>
          <w:i/>
          <w:szCs w:val="24"/>
        </w:rPr>
        <w:t xml:space="preserve"> </w:t>
      </w:r>
      <w:r w:rsidR="00526822" w:rsidRPr="00A93525">
        <w:rPr>
          <w:szCs w:val="24"/>
        </w:rPr>
        <w:t>“</w:t>
      </w:r>
      <w:r w:rsidR="00526822" w:rsidRPr="00A93525">
        <w:rPr>
          <w:b/>
          <w:i/>
          <w:szCs w:val="24"/>
        </w:rPr>
        <w:t>Ngày kỷ niệm hợp đồng</w:t>
      </w:r>
      <w:r w:rsidR="00526822" w:rsidRPr="00A93525">
        <w:rPr>
          <w:szCs w:val="24"/>
        </w:rPr>
        <w:t>”</w:t>
      </w:r>
      <w:r w:rsidR="005F6A30" w:rsidRPr="00A93525">
        <w:rPr>
          <w:szCs w:val="24"/>
        </w:rPr>
        <w:t>:</w:t>
      </w:r>
      <w:r w:rsidR="00526822" w:rsidRPr="00A93525">
        <w:rPr>
          <w:szCs w:val="24"/>
        </w:rPr>
        <w:t xml:space="preserve"> là ngày </w:t>
      </w:r>
      <w:r w:rsidR="008E72A3" w:rsidRPr="00A93525">
        <w:rPr>
          <w:szCs w:val="24"/>
        </w:rPr>
        <w:t>kỷ niệm</w:t>
      </w:r>
      <w:r w:rsidR="00526822" w:rsidRPr="00A93525">
        <w:rPr>
          <w:szCs w:val="24"/>
        </w:rPr>
        <w:t xml:space="preserve"> tương ứng hàng năm của Ngày hiệu lực </w:t>
      </w:r>
      <w:r w:rsidRPr="00A93525">
        <w:rPr>
          <w:szCs w:val="24"/>
        </w:rPr>
        <w:t xml:space="preserve">hợp đồng </w:t>
      </w:r>
      <w:r w:rsidR="00526822" w:rsidRPr="00A93525">
        <w:rPr>
          <w:szCs w:val="24"/>
        </w:rPr>
        <w:t xml:space="preserve">trong suốt Thời hạn </w:t>
      </w:r>
      <w:r w:rsidR="00C57564" w:rsidRPr="00A93525">
        <w:rPr>
          <w:szCs w:val="24"/>
        </w:rPr>
        <w:t>bảo hiểm</w:t>
      </w:r>
      <w:r w:rsidR="00526822" w:rsidRPr="00A93525">
        <w:rPr>
          <w:szCs w:val="24"/>
        </w:rPr>
        <w:t xml:space="preserve">. </w:t>
      </w:r>
      <w:r w:rsidRPr="00A93525">
        <w:rPr>
          <w:szCs w:val="24"/>
        </w:rPr>
        <w:t xml:space="preserve">Nếu năm không có ngày này thì ngày cuối cùng của tháng đó sẽ là </w:t>
      </w:r>
      <w:r w:rsidR="00D60C23" w:rsidRPr="00A93525">
        <w:rPr>
          <w:szCs w:val="24"/>
        </w:rPr>
        <w:t>N</w:t>
      </w:r>
      <w:r w:rsidRPr="00A93525">
        <w:rPr>
          <w:szCs w:val="24"/>
        </w:rPr>
        <w:t>gày kỷ niệm hợp đồng.</w:t>
      </w:r>
    </w:p>
    <w:p w:rsidR="00526822" w:rsidRPr="00A93525" w:rsidRDefault="00526822" w:rsidP="00212C2C">
      <w:pPr>
        <w:pStyle w:val="Dinhnghia"/>
        <w:ind w:left="720" w:hanging="702"/>
        <w:rPr>
          <w:color w:val="000000"/>
          <w:szCs w:val="24"/>
        </w:rPr>
      </w:pPr>
      <w:r w:rsidRPr="00A93525">
        <w:rPr>
          <w:szCs w:val="24"/>
        </w:rPr>
        <w:lastRenderedPageBreak/>
        <w:t>“</w:t>
      </w:r>
      <w:r w:rsidRPr="00A93525">
        <w:rPr>
          <w:b/>
          <w:i/>
          <w:szCs w:val="24"/>
        </w:rPr>
        <w:t>Ngày kỷ niệm hàng tháng</w:t>
      </w:r>
      <w:r w:rsidRPr="00A93525">
        <w:rPr>
          <w:szCs w:val="24"/>
        </w:rPr>
        <w:t>”</w:t>
      </w:r>
      <w:r w:rsidR="005F6A30" w:rsidRPr="00A93525">
        <w:rPr>
          <w:szCs w:val="24"/>
        </w:rPr>
        <w:t>:</w:t>
      </w:r>
      <w:r w:rsidRPr="00A93525">
        <w:rPr>
          <w:szCs w:val="24"/>
        </w:rPr>
        <w:t xml:space="preserve"> là ngày lặp lại tương ứng hàng tháng của Ngày hiệu lực</w:t>
      </w:r>
      <w:r w:rsidR="0087254F" w:rsidRPr="00A93525">
        <w:rPr>
          <w:szCs w:val="24"/>
        </w:rPr>
        <w:t xml:space="preserve"> hợp đồng; t</w:t>
      </w:r>
      <w:r w:rsidRPr="00A93525">
        <w:rPr>
          <w:szCs w:val="24"/>
        </w:rPr>
        <w:t xml:space="preserve">rong trường hợp </w:t>
      </w:r>
      <w:r w:rsidR="0087254F" w:rsidRPr="00A93525">
        <w:rPr>
          <w:szCs w:val="24"/>
        </w:rPr>
        <w:t xml:space="preserve">trong </w:t>
      </w:r>
      <w:r w:rsidRPr="00A93525">
        <w:rPr>
          <w:szCs w:val="24"/>
        </w:rPr>
        <w:t xml:space="preserve">tháng không có ngày tương ứng, ngày </w:t>
      </w:r>
      <w:r w:rsidR="0087254F" w:rsidRPr="00A93525">
        <w:rPr>
          <w:szCs w:val="24"/>
        </w:rPr>
        <w:t>liền trước</w:t>
      </w:r>
      <w:r w:rsidR="00B306FB" w:rsidRPr="00A93525">
        <w:rPr>
          <w:szCs w:val="24"/>
        </w:rPr>
        <w:t xml:space="preserve"> đó sẽ được áp dụng.</w:t>
      </w:r>
      <w:r w:rsidR="0087254F" w:rsidRPr="00A93525">
        <w:rPr>
          <w:szCs w:val="24"/>
        </w:rPr>
        <w:t xml:space="preserve"> </w:t>
      </w:r>
    </w:p>
    <w:p w:rsidR="00526822" w:rsidRPr="00A93525" w:rsidRDefault="00526822" w:rsidP="00212C2C">
      <w:pPr>
        <w:pStyle w:val="Dinhnghia"/>
        <w:ind w:left="720" w:hanging="702"/>
        <w:rPr>
          <w:szCs w:val="24"/>
        </w:rPr>
      </w:pPr>
      <w:r w:rsidRPr="00A93525">
        <w:rPr>
          <w:szCs w:val="24"/>
        </w:rPr>
        <w:t>“</w:t>
      </w:r>
      <w:r w:rsidRPr="00A93525">
        <w:rPr>
          <w:b/>
          <w:i/>
          <w:szCs w:val="24"/>
        </w:rPr>
        <w:t>Năm hợp đồng</w:t>
      </w:r>
      <w:r w:rsidRPr="00A93525">
        <w:rPr>
          <w:szCs w:val="24"/>
        </w:rPr>
        <w:t>”</w:t>
      </w:r>
      <w:r w:rsidR="005F6A30" w:rsidRPr="00A93525">
        <w:rPr>
          <w:szCs w:val="24"/>
        </w:rPr>
        <w:t>:</w:t>
      </w:r>
      <w:r w:rsidRPr="00A93525">
        <w:rPr>
          <w:szCs w:val="24"/>
        </w:rPr>
        <w:t xml:space="preserve"> là </w:t>
      </w:r>
      <w:r w:rsidR="0087254F" w:rsidRPr="00A93525">
        <w:rPr>
          <w:szCs w:val="24"/>
        </w:rPr>
        <w:t>một năm</w:t>
      </w:r>
      <w:r w:rsidRPr="00A93525">
        <w:rPr>
          <w:szCs w:val="24"/>
        </w:rPr>
        <w:t xml:space="preserve"> dương lịch kể từ Ngày hiệu lực </w:t>
      </w:r>
      <w:r w:rsidR="0087254F" w:rsidRPr="00A93525">
        <w:rPr>
          <w:szCs w:val="24"/>
        </w:rPr>
        <w:t xml:space="preserve">hợp đồng </w:t>
      </w:r>
      <w:r w:rsidRPr="00A93525">
        <w:rPr>
          <w:szCs w:val="24"/>
        </w:rPr>
        <w:t xml:space="preserve">hoặc từ Ngày kỷ niệm </w:t>
      </w:r>
      <w:r w:rsidR="0087254F" w:rsidRPr="00A93525">
        <w:rPr>
          <w:szCs w:val="24"/>
        </w:rPr>
        <w:t>h</w:t>
      </w:r>
      <w:r w:rsidR="009C69BD" w:rsidRPr="00A93525">
        <w:rPr>
          <w:szCs w:val="24"/>
        </w:rPr>
        <w:t>ợp đồng</w:t>
      </w:r>
      <w:r w:rsidRPr="00A93525">
        <w:rPr>
          <w:szCs w:val="24"/>
        </w:rPr>
        <w:t>.</w:t>
      </w:r>
    </w:p>
    <w:p w:rsidR="00526822" w:rsidRPr="00A93525" w:rsidRDefault="00526822" w:rsidP="00212C2C">
      <w:pPr>
        <w:numPr>
          <w:ilvl w:val="1"/>
          <w:numId w:val="2"/>
        </w:numPr>
        <w:spacing w:after="200" w:line="276" w:lineRule="auto"/>
        <w:ind w:left="709" w:hanging="709"/>
        <w:jc w:val="both"/>
        <w:rPr>
          <w:rFonts w:eastAsia="Times New Roman"/>
          <w:szCs w:val="24"/>
        </w:rPr>
      </w:pPr>
      <w:r w:rsidRPr="00A93525">
        <w:rPr>
          <w:rFonts w:eastAsia="Times New Roman"/>
          <w:szCs w:val="24"/>
        </w:rPr>
        <w:t>“</w:t>
      </w:r>
      <w:r w:rsidRPr="00A93525">
        <w:rPr>
          <w:rFonts w:eastAsia="Times New Roman"/>
          <w:b/>
          <w:i/>
          <w:szCs w:val="24"/>
        </w:rPr>
        <w:t>Thương tật toàn bộ vĩnh viễn</w:t>
      </w:r>
      <w:r w:rsidRPr="00A93525">
        <w:rPr>
          <w:rFonts w:eastAsia="Times New Roman"/>
          <w:szCs w:val="24"/>
        </w:rPr>
        <w:t>”</w:t>
      </w:r>
      <w:r w:rsidR="005F6A30" w:rsidRPr="00A93525">
        <w:rPr>
          <w:rFonts w:eastAsia="Times New Roman"/>
          <w:szCs w:val="24"/>
        </w:rPr>
        <w:t>:</w:t>
      </w:r>
      <w:r w:rsidRPr="00A93525">
        <w:rPr>
          <w:rFonts w:eastAsia="Times New Roman"/>
          <w:szCs w:val="24"/>
        </w:rPr>
        <w:t xml:space="preserve"> </w:t>
      </w:r>
      <w:r w:rsidR="0087254F" w:rsidRPr="00A93525">
        <w:rPr>
          <w:rFonts w:eastAsia="Times New Roman"/>
          <w:szCs w:val="24"/>
        </w:rPr>
        <w:t>là trường hợp</w:t>
      </w:r>
      <w:r w:rsidRPr="00A93525">
        <w:rPr>
          <w:rFonts w:eastAsia="Times New Roman"/>
          <w:szCs w:val="24"/>
        </w:rPr>
        <w:t>:</w:t>
      </w:r>
    </w:p>
    <w:p w:rsidR="00526822" w:rsidRPr="00A93525" w:rsidRDefault="00526822" w:rsidP="00212C2C">
      <w:pPr>
        <w:pStyle w:val="ListParagraph"/>
        <w:numPr>
          <w:ilvl w:val="0"/>
          <w:numId w:val="3"/>
        </w:numPr>
        <w:spacing w:after="0" w:line="276" w:lineRule="auto"/>
        <w:jc w:val="both"/>
        <w:rPr>
          <w:szCs w:val="24"/>
        </w:rPr>
      </w:pPr>
      <w:r w:rsidRPr="00A93525">
        <w:rPr>
          <w:szCs w:val="24"/>
        </w:rPr>
        <w:t>Người được bảo hiểm bị mất</w:t>
      </w:r>
      <w:r w:rsidR="0087254F" w:rsidRPr="00A93525">
        <w:rPr>
          <w:szCs w:val="24"/>
        </w:rPr>
        <w:t>,</w:t>
      </w:r>
      <w:r w:rsidRPr="00A93525">
        <w:rPr>
          <w:szCs w:val="24"/>
        </w:rPr>
        <w:t xml:space="preserve"> liệt hoàn toàn </w:t>
      </w:r>
      <w:r w:rsidR="0087254F" w:rsidRPr="00A93525">
        <w:rPr>
          <w:szCs w:val="24"/>
        </w:rPr>
        <w:t xml:space="preserve">và </w:t>
      </w:r>
      <w:r w:rsidRPr="00A93525">
        <w:rPr>
          <w:szCs w:val="24"/>
        </w:rPr>
        <w:t xml:space="preserve">không thể phục hồi </w:t>
      </w:r>
      <w:r w:rsidR="0087254F" w:rsidRPr="00A93525">
        <w:rPr>
          <w:szCs w:val="24"/>
        </w:rPr>
        <w:t xml:space="preserve">được </w:t>
      </w:r>
      <w:r w:rsidRPr="00A93525">
        <w:rPr>
          <w:szCs w:val="24"/>
        </w:rPr>
        <w:t>chức năng của:</w:t>
      </w:r>
    </w:p>
    <w:p w:rsidR="005736FA" w:rsidRPr="00A93525" w:rsidRDefault="005736FA" w:rsidP="00212C2C">
      <w:pPr>
        <w:pStyle w:val="ListParagraph"/>
        <w:numPr>
          <w:ilvl w:val="0"/>
          <w:numId w:val="4"/>
        </w:numPr>
        <w:jc w:val="both"/>
        <w:rPr>
          <w:szCs w:val="24"/>
        </w:rPr>
      </w:pPr>
      <w:r w:rsidRPr="00A93525">
        <w:rPr>
          <w:szCs w:val="24"/>
        </w:rPr>
        <w:t>Hai tay; hoặc</w:t>
      </w:r>
    </w:p>
    <w:p w:rsidR="005736FA" w:rsidRPr="00A93525" w:rsidRDefault="005736FA" w:rsidP="00212C2C">
      <w:pPr>
        <w:pStyle w:val="ListParagraph"/>
        <w:numPr>
          <w:ilvl w:val="0"/>
          <w:numId w:val="4"/>
        </w:numPr>
        <w:jc w:val="both"/>
        <w:rPr>
          <w:szCs w:val="24"/>
        </w:rPr>
      </w:pPr>
      <w:r w:rsidRPr="00A93525">
        <w:rPr>
          <w:szCs w:val="24"/>
        </w:rPr>
        <w:t xml:space="preserve">Hai chân; hoặc  </w:t>
      </w:r>
    </w:p>
    <w:p w:rsidR="005736FA" w:rsidRPr="00A93525" w:rsidRDefault="005736FA" w:rsidP="00212C2C">
      <w:pPr>
        <w:pStyle w:val="ListParagraph"/>
        <w:numPr>
          <w:ilvl w:val="0"/>
          <w:numId w:val="4"/>
        </w:numPr>
        <w:jc w:val="both"/>
        <w:rPr>
          <w:szCs w:val="24"/>
        </w:rPr>
      </w:pPr>
      <w:r w:rsidRPr="00A93525">
        <w:rPr>
          <w:szCs w:val="24"/>
        </w:rPr>
        <w:t>Một tay và một chân; hoặc</w:t>
      </w:r>
    </w:p>
    <w:p w:rsidR="005736FA" w:rsidRPr="00A93525" w:rsidRDefault="005736FA" w:rsidP="00212C2C">
      <w:pPr>
        <w:pStyle w:val="ListParagraph"/>
        <w:numPr>
          <w:ilvl w:val="0"/>
          <w:numId w:val="4"/>
        </w:numPr>
        <w:jc w:val="both"/>
        <w:rPr>
          <w:szCs w:val="24"/>
        </w:rPr>
      </w:pPr>
      <w:r w:rsidRPr="00A93525">
        <w:rPr>
          <w:szCs w:val="24"/>
        </w:rPr>
        <w:t>Hai mắt; hoặc</w:t>
      </w:r>
    </w:p>
    <w:p w:rsidR="005736FA" w:rsidRPr="00A93525" w:rsidRDefault="005736FA" w:rsidP="00212C2C">
      <w:pPr>
        <w:pStyle w:val="ListParagraph"/>
        <w:numPr>
          <w:ilvl w:val="0"/>
          <w:numId w:val="4"/>
        </w:numPr>
        <w:jc w:val="both"/>
        <w:rPr>
          <w:szCs w:val="24"/>
        </w:rPr>
      </w:pPr>
      <w:r w:rsidRPr="00A93525">
        <w:rPr>
          <w:szCs w:val="24"/>
        </w:rPr>
        <w:t>Một tay và một mắt; hoặc</w:t>
      </w:r>
    </w:p>
    <w:p w:rsidR="005736FA" w:rsidRPr="00A93525" w:rsidRDefault="005736FA" w:rsidP="00212C2C">
      <w:pPr>
        <w:pStyle w:val="ListParagraph"/>
        <w:numPr>
          <w:ilvl w:val="0"/>
          <w:numId w:val="4"/>
        </w:numPr>
        <w:jc w:val="both"/>
        <w:rPr>
          <w:szCs w:val="24"/>
        </w:rPr>
      </w:pPr>
      <w:r w:rsidRPr="00A93525">
        <w:rPr>
          <w:szCs w:val="24"/>
        </w:rPr>
        <w:t>Một chân và một mắt.</w:t>
      </w:r>
    </w:p>
    <w:p w:rsidR="005736FA" w:rsidRPr="00A93525" w:rsidRDefault="005736FA" w:rsidP="00212C2C">
      <w:pPr>
        <w:ind w:left="360"/>
        <w:jc w:val="both"/>
        <w:rPr>
          <w:rFonts w:eastAsia="Times New Roman"/>
          <w:szCs w:val="24"/>
        </w:rPr>
      </w:pPr>
      <w:r w:rsidRPr="00A93525">
        <w:rPr>
          <w:rFonts w:eastAsia="Times New Roman"/>
          <w:szCs w:val="24"/>
        </w:rPr>
        <w:t xml:space="preserve">Trong trường hợp này, mất hoàn toàn và không thể phục hồi được chức năng của (i) tay được tính từ cổ tay trở lên, (ii) chân được tính từ mắt cá chân trở lên, (iv) mắt được hiểu là mất hẳn mắt hoặc mù hoàn toàn. </w:t>
      </w:r>
    </w:p>
    <w:p w:rsidR="005736FA" w:rsidRPr="00A93525" w:rsidRDefault="005736FA" w:rsidP="00212C2C">
      <w:pPr>
        <w:ind w:left="360"/>
        <w:jc w:val="both"/>
        <w:rPr>
          <w:rFonts w:eastAsia="Times New Roman"/>
          <w:szCs w:val="24"/>
        </w:rPr>
      </w:pPr>
      <w:r w:rsidRPr="00A93525">
        <w:rPr>
          <w:rFonts w:eastAsia="Times New Roman"/>
          <w:szCs w:val="24"/>
        </w:rPr>
        <w:t>Việc chứng nhận Người được bảo hiểm bị mất hoàn toàn bộ phận cơ thể (tay, chân hoặc mắt) có thể được thực hiện ngay sau khi sự kiện bảo hiểm xảy ra.</w:t>
      </w:r>
    </w:p>
    <w:p w:rsidR="009C21F1" w:rsidRPr="00A93525" w:rsidRDefault="009C21F1" w:rsidP="00212C2C">
      <w:pPr>
        <w:ind w:left="360"/>
        <w:jc w:val="both"/>
        <w:rPr>
          <w:rFonts w:eastAsia="Times New Roman"/>
          <w:szCs w:val="24"/>
        </w:rPr>
      </w:pPr>
      <w:r w:rsidRPr="00A93525">
        <w:rPr>
          <w:rFonts w:eastAsia="Times New Roman"/>
          <w:szCs w:val="24"/>
        </w:rPr>
        <w:t>Việc chứng nhận bị liệt hoàn toàn và không thể phục hồi chức năng của các bộ phận cơ thể phải được thực hiện không sớm hơn 180 ngày kể từ ngày xảy ra sự kiện bảo</w:t>
      </w:r>
      <w:r w:rsidR="005736FA" w:rsidRPr="00A93525">
        <w:rPr>
          <w:rFonts w:eastAsia="Times New Roman"/>
          <w:szCs w:val="24"/>
        </w:rPr>
        <w:t xml:space="preserve"> hiểm hoặc từ ngày bệnh lý được chẩn đoán xác định.</w:t>
      </w:r>
    </w:p>
    <w:p w:rsidR="009C21F1" w:rsidRPr="00A93525" w:rsidRDefault="009C21F1" w:rsidP="00212C2C">
      <w:pPr>
        <w:ind w:left="360"/>
        <w:jc w:val="both"/>
        <w:rPr>
          <w:rFonts w:eastAsia="Times New Roman"/>
          <w:szCs w:val="24"/>
        </w:rPr>
      </w:pPr>
      <w:r w:rsidRPr="00A93525">
        <w:rPr>
          <w:rFonts w:eastAsia="Times New Roman"/>
          <w:szCs w:val="24"/>
        </w:rPr>
        <w:t>Hoặc:</w:t>
      </w:r>
    </w:p>
    <w:p w:rsidR="00FF45CD" w:rsidRPr="00A93525" w:rsidRDefault="001342F2" w:rsidP="00212C2C">
      <w:pPr>
        <w:pStyle w:val="ListParagraph"/>
        <w:numPr>
          <w:ilvl w:val="0"/>
          <w:numId w:val="3"/>
        </w:numPr>
        <w:jc w:val="both"/>
        <w:rPr>
          <w:rFonts w:eastAsia="Times New Roman"/>
          <w:szCs w:val="24"/>
        </w:rPr>
      </w:pPr>
      <w:r w:rsidRPr="00A93525">
        <w:rPr>
          <w:rFonts w:eastAsia="Times New Roman"/>
          <w:szCs w:val="24"/>
        </w:rPr>
        <w:t xml:space="preserve">Người được bảo hiểm </w:t>
      </w:r>
      <w:r w:rsidR="008F1A45">
        <w:rPr>
          <w:rFonts w:eastAsia="Times New Roman"/>
          <w:szCs w:val="24"/>
        </w:rPr>
        <w:t>mất sức lao động</w:t>
      </w:r>
      <w:r w:rsidRPr="00A93525">
        <w:rPr>
          <w:rFonts w:eastAsia="Times New Roman"/>
          <w:szCs w:val="24"/>
        </w:rPr>
        <w:t xml:space="preserve"> từ 81% </w:t>
      </w:r>
      <w:r w:rsidR="003B5F35" w:rsidRPr="00A93525">
        <w:rPr>
          <w:rFonts w:eastAsia="Times New Roman"/>
          <w:szCs w:val="24"/>
        </w:rPr>
        <w:t xml:space="preserve">trở lên </w:t>
      </w:r>
      <w:r w:rsidRPr="00A93525">
        <w:rPr>
          <w:rFonts w:eastAsia="Times New Roman"/>
          <w:szCs w:val="24"/>
        </w:rPr>
        <w:t>theo xác nhận của cơ quan y tế/Hội đồng giám định Y khoa cấp tỉnh trở lên.</w:t>
      </w:r>
      <w:r w:rsidR="00FF45CD" w:rsidRPr="00A93525">
        <w:rPr>
          <w:rFonts w:eastAsia="Times New Roman"/>
          <w:szCs w:val="24"/>
        </w:rPr>
        <w:t xml:space="preserve"> Việc chứng nhận </w:t>
      </w:r>
      <w:r w:rsidRPr="00A93525">
        <w:rPr>
          <w:rFonts w:eastAsia="Times New Roman"/>
          <w:szCs w:val="24"/>
        </w:rPr>
        <w:t xml:space="preserve">này </w:t>
      </w:r>
      <w:r w:rsidR="00FF45CD" w:rsidRPr="00A93525">
        <w:rPr>
          <w:rFonts w:eastAsia="Times New Roman"/>
          <w:szCs w:val="24"/>
        </w:rPr>
        <w:t>phải được thực hiện không sớm hơn 180 ngày kể từ ngày xảy ra sự kiện bảo hiểm.</w:t>
      </w:r>
    </w:p>
    <w:p w:rsidR="003E512F" w:rsidRPr="00A93525" w:rsidRDefault="00F4507F" w:rsidP="00212C2C">
      <w:pPr>
        <w:pStyle w:val="Dinhnghia"/>
        <w:ind w:left="630" w:hanging="612"/>
        <w:rPr>
          <w:szCs w:val="24"/>
        </w:rPr>
      </w:pPr>
      <w:r w:rsidRPr="00A93525" w:rsidDel="00F4507F">
        <w:rPr>
          <w:szCs w:val="24"/>
          <w:lang w:val="vi-VN"/>
        </w:rPr>
        <w:t xml:space="preserve"> </w:t>
      </w:r>
      <w:r w:rsidR="003E512F" w:rsidRPr="00A93525">
        <w:rPr>
          <w:szCs w:val="24"/>
        </w:rPr>
        <w:t>“</w:t>
      </w:r>
      <w:r w:rsidR="003E512F" w:rsidRPr="00A93525">
        <w:rPr>
          <w:b/>
          <w:i/>
          <w:szCs w:val="24"/>
        </w:rPr>
        <w:t>Lãi suất ghi nhận</w:t>
      </w:r>
      <w:r w:rsidR="003E512F" w:rsidRPr="00A93525">
        <w:rPr>
          <w:szCs w:val="24"/>
        </w:rPr>
        <w:t>”</w:t>
      </w:r>
      <w:r w:rsidR="005F6A30" w:rsidRPr="00A93525">
        <w:rPr>
          <w:szCs w:val="24"/>
        </w:rPr>
        <w:t>:</w:t>
      </w:r>
      <w:r w:rsidR="003E512F" w:rsidRPr="00A93525">
        <w:rPr>
          <w:szCs w:val="24"/>
        </w:rPr>
        <w:t xml:space="preserve"> </w:t>
      </w:r>
      <w:r w:rsidR="00200783" w:rsidRPr="00A93525">
        <w:rPr>
          <w:szCs w:val="24"/>
        </w:rPr>
        <w:t>là t</w:t>
      </w:r>
      <w:r w:rsidR="00A20F4E" w:rsidRPr="00A93525">
        <w:rPr>
          <w:szCs w:val="24"/>
        </w:rPr>
        <w:t>ỷ</w:t>
      </w:r>
      <w:r w:rsidR="00200783" w:rsidRPr="00A93525">
        <w:rPr>
          <w:szCs w:val="24"/>
        </w:rPr>
        <w:t xml:space="preserve"> lệ </w:t>
      </w:r>
      <w:r w:rsidR="003E512F" w:rsidRPr="00A93525">
        <w:rPr>
          <w:szCs w:val="24"/>
        </w:rPr>
        <w:t xml:space="preserve">được </w:t>
      </w:r>
      <w:r w:rsidR="00200783" w:rsidRPr="00A93525">
        <w:rPr>
          <w:szCs w:val="24"/>
        </w:rPr>
        <w:t xml:space="preserve">áp dụng để tích lũy lãi vào Giá trị tài khoản hưu trí. Lãi suất ghi nhận được Công ty công bố </w:t>
      </w:r>
      <w:r w:rsidR="00982475">
        <w:rPr>
          <w:szCs w:val="24"/>
        </w:rPr>
        <w:t>hàng tháng</w:t>
      </w:r>
      <w:r w:rsidR="004A1B81">
        <w:rPr>
          <w:szCs w:val="24"/>
        </w:rPr>
        <w:t xml:space="preserve"> </w:t>
      </w:r>
      <w:r w:rsidR="001704DD" w:rsidRPr="00A93525">
        <w:rPr>
          <w:szCs w:val="24"/>
        </w:rPr>
        <w:t xml:space="preserve">trong suốt Thời hạn bảo hiểm </w:t>
      </w:r>
      <w:r w:rsidR="004A1B81">
        <w:rPr>
          <w:szCs w:val="24"/>
        </w:rPr>
        <w:t>trên trang thông tin điện tử (website) chính thức của Công ty</w:t>
      </w:r>
      <w:r w:rsidR="00200783" w:rsidRPr="00A93525">
        <w:rPr>
          <w:szCs w:val="24"/>
        </w:rPr>
        <w:t xml:space="preserve"> và được đảm bảo không thấp hơn </w:t>
      </w:r>
      <w:r w:rsidR="00A20F4E" w:rsidRPr="00A93525">
        <w:rPr>
          <w:szCs w:val="24"/>
        </w:rPr>
        <w:t>tỷ lệ</w:t>
      </w:r>
      <w:r w:rsidR="00200783" w:rsidRPr="00A93525">
        <w:rPr>
          <w:szCs w:val="24"/>
        </w:rPr>
        <w:t xml:space="preserve"> được quy định </w:t>
      </w:r>
      <w:r w:rsidR="00A20F4E" w:rsidRPr="00A93525">
        <w:rPr>
          <w:szCs w:val="24"/>
        </w:rPr>
        <w:t>tại</w:t>
      </w:r>
      <w:r w:rsidR="00200783" w:rsidRPr="00A93525">
        <w:rPr>
          <w:szCs w:val="24"/>
        </w:rPr>
        <w:t xml:space="preserve"> Điều 5.5</w:t>
      </w:r>
      <w:r w:rsidR="003E512F" w:rsidRPr="00A93525">
        <w:rPr>
          <w:szCs w:val="24"/>
        </w:rPr>
        <w:t xml:space="preserve">. </w:t>
      </w:r>
    </w:p>
    <w:p w:rsidR="007D43C1" w:rsidRPr="00A93525" w:rsidRDefault="0087254F" w:rsidP="00212C2C">
      <w:pPr>
        <w:pStyle w:val="Dinhnghia"/>
        <w:ind w:left="630" w:hanging="630"/>
        <w:rPr>
          <w:szCs w:val="24"/>
        </w:rPr>
      </w:pPr>
      <w:r w:rsidRPr="00A93525" w:rsidDel="0087254F">
        <w:rPr>
          <w:b/>
          <w:szCs w:val="24"/>
        </w:rPr>
        <w:t xml:space="preserve"> </w:t>
      </w:r>
      <w:r w:rsidR="007D43C1" w:rsidRPr="00A93525">
        <w:rPr>
          <w:szCs w:val="24"/>
        </w:rPr>
        <w:t>“</w:t>
      </w:r>
      <w:r w:rsidR="007D43C1" w:rsidRPr="00A93525">
        <w:rPr>
          <w:b/>
          <w:i/>
          <w:szCs w:val="24"/>
        </w:rPr>
        <w:t>Giá trị tài khoản hưu trí</w:t>
      </w:r>
      <w:r w:rsidR="007D43C1" w:rsidRPr="00A93525">
        <w:rPr>
          <w:szCs w:val="24"/>
        </w:rPr>
        <w:t>”</w:t>
      </w:r>
      <w:r w:rsidR="005F6A30" w:rsidRPr="00A93525">
        <w:rPr>
          <w:szCs w:val="24"/>
        </w:rPr>
        <w:t>:</w:t>
      </w:r>
      <w:r w:rsidR="007D43C1" w:rsidRPr="00A93525">
        <w:rPr>
          <w:szCs w:val="24"/>
        </w:rPr>
        <w:t xml:space="preserve"> là số tiền được tích lũy từ các khoản đóng góp của </w:t>
      </w:r>
      <w:r w:rsidRPr="00A93525">
        <w:rPr>
          <w:szCs w:val="24"/>
        </w:rPr>
        <w:t xml:space="preserve">Bên mua bảo hiểm và/hoặc </w:t>
      </w:r>
      <w:r w:rsidR="007D43C1" w:rsidRPr="00A93525">
        <w:rPr>
          <w:szCs w:val="24"/>
        </w:rPr>
        <w:t xml:space="preserve">Người được bảo hiểm </w:t>
      </w:r>
      <w:r w:rsidR="002F2452">
        <w:rPr>
          <w:szCs w:val="24"/>
        </w:rPr>
        <w:t xml:space="preserve">sau khi </w:t>
      </w:r>
      <w:r w:rsidR="00B306FB" w:rsidRPr="00A93525">
        <w:rPr>
          <w:szCs w:val="24"/>
        </w:rPr>
        <w:t>trừ Phí ban đầu, các Khoản khấu trừ hàng tháng, và cộng vào các khoản lãi và thưởng khác (nếu có). Giá trị tài khoản hưu trí được tính lãi</w:t>
      </w:r>
      <w:r w:rsidR="001A4E76" w:rsidRPr="00A93525">
        <w:rPr>
          <w:szCs w:val="24"/>
        </w:rPr>
        <w:t xml:space="preserve"> </w:t>
      </w:r>
      <w:r w:rsidR="00B306FB" w:rsidRPr="00A93525">
        <w:rPr>
          <w:szCs w:val="24"/>
        </w:rPr>
        <w:t xml:space="preserve">theo mức </w:t>
      </w:r>
      <w:r w:rsidR="003E512F" w:rsidRPr="00A93525">
        <w:rPr>
          <w:szCs w:val="24"/>
        </w:rPr>
        <w:t>Lãi suất ghi nhận</w:t>
      </w:r>
      <w:r w:rsidR="00B768A1" w:rsidRPr="00A93525">
        <w:rPr>
          <w:szCs w:val="24"/>
        </w:rPr>
        <w:t xml:space="preserve"> </w:t>
      </w:r>
      <w:r w:rsidR="00B306FB" w:rsidRPr="00A93525">
        <w:rPr>
          <w:szCs w:val="24"/>
        </w:rPr>
        <w:t>được công bố.</w:t>
      </w:r>
      <w:r w:rsidRPr="00A93525">
        <w:rPr>
          <w:szCs w:val="24"/>
        </w:rPr>
        <w:t xml:space="preserve"> </w:t>
      </w:r>
    </w:p>
    <w:p w:rsidR="00707E64" w:rsidRPr="00A93525" w:rsidRDefault="003E512F" w:rsidP="00212C2C">
      <w:pPr>
        <w:pStyle w:val="Dinhnghia"/>
        <w:ind w:left="630" w:hanging="612"/>
        <w:rPr>
          <w:szCs w:val="24"/>
        </w:rPr>
      </w:pPr>
      <w:r w:rsidRPr="00A93525" w:rsidDel="003E512F">
        <w:rPr>
          <w:szCs w:val="24"/>
        </w:rPr>
        <w:lastRenderedPageBreak/>
        <w:t xml:space="preserve"> </w:t>
      </w:r>
      <w:r w:rsidR="00707E64" w:rsidRPr="00A93525">
        <w:rPr>
          <w:szCs w:val="24"/>
        </w:rPr>
        <w:t>“</w:t>
      </w:r>
      <w:r w:rsidR="00707E64" w:rsidRPr="00A93525">
        <w:rPr>
          <w:b/>
          <w:i/>
          <w:szCs w:val="24"/>
        </w:rPr>
        <w:t>Khoản khấu trừ hàng tháng</w:t>
      </w:r>
      <w:r w:rsidR="00707E64" w:rsidRPr="00A93525">
        <w:rPr>
          <w:szCs w:val="24"/>
        </w:rPr>
        <w:t>”</w:t>
      </w:r>
      <w:r w:rsidR="005F6A30" w:rsidRPr="00A93525">
        <w:rPr>
          <w:szCs w:val="24"/>
        </w:rPr>
        <w:t>:</w:t>
      </w:r>
      <w:r w:rsidR="00707E64" w:rsidRPr="00A93525">
        <w:rPr>
          <w:szCs w:val="24"/>
        </w:rPr>
        <w:t xml:space="preserve"> là khoản </w:t>
      </w:r>
      <w:r w:rsidR="0087254F" w:rsidRPr="00A93525">
        <w:rPr>
          <w:szCs w:val="24"/>
        </w:rPr>
        <w:t>phí được</w:t>
      </w:r>
      <w:r w:rsidR="00707E64" w:rsidRPr="00A93525">
        <w:rPr>
          <w:szCs w:val="24"/>
        </w:rPr>
        <w:t xml:space="preserve"> Công ty khấu trừ từ Giá trị tài khoản hưu trí </w:t>
      </w:r>
      <w:r w:rsidR="002F2FC5" w:rsidRPr="00A93525">
        <w:rPr>
          <w:szCs w:val="24"/>
        </w:rPr>
        <w:t>vào Ngày hiệu lực hợp đồng hoặc Ngày kỷ niệm hàng tháng, bao gồm Phí bảo hiểm rủi ro</w:t>
      </w:r>
      <w:r w:rsidR="000254A1">
        <w:rPr>
          <w:szCs w:val="24"/>
        </w:rPr>
        <w:t xml:space="preserve"> và</w:t>
      </w:r>
      <w:r w:rsidR="002F2FC5" w:rsidRPr="00A93525">
        <w:rPr>
          <w:szCs w:val="24"/>
        </w:rPr>
        <w:t xml:space="preserve"> Phí quản lý hợp đồng</w:t>
      </w:r>
      <w:r w:rsidR="00707E64" w:rsidRPr="00A93525">
        <w:rPr>
          <w:szCs w:val="24"/>
        </w:rPr>
        <w:t xml:space="preserve">. </w:t>
      </w:r>
    </w:p>
    <w:p w:rsidR="00437072" w:rsidRPr="00A93525" w:rsidRDefault="00437072" w:rsidP="00212C2C">
      <w:pPr>
        <w:numPr>
          <w:ilvl w:val="1"/>
          <w:numId w:val="2"/>
        </w:numPr>
        <w:spacing w:before="0" w:after="200" w:line="276" w:lineRule="auto"/>
        <w:ind w:left="630" w:hanging="612"/>
        <w:jc w:val="both"/>
        <w:rPr>
          <w:szCs w:val="24"/>
        </w:rPr>
      </w:pPr>
      <w:r w:rsidRPr="00A93525">
        <w:rPr>
          <w:rFonts w:cs="Times New Roman"/>
          <w:color w:val="000000" w:themeColor="text1"/>
          <w:szCs w:val="24"/>
        </w:rPr>
        <w:t>“</w:t>
      </w:r>
      <w:r w:rsidRPr="00A93525">
        <w:rPr>
          <w:rFonts w:cs="Times New Roman"/>
          <w:b/>
          <w:i/>
          <w:color w:val="000000" w:themeColor="text1"/>
          <w:szCs w:val="24"/>
        </w:rPr>
        <w:t>Khoản nợ</w:t>
      </w:r>
      <w:r w:rsidRPr="00A93525">
        <w:rPr>
          <w:rFonts w:cs="Times New Roman"/>
          <w:color w:val="000000" w:themeColor="text1"/>
          <w:szCs w:val="24"/>
        </w:rPr>
        <w:t>”: là khoản tiền bao gồm các Khoản khấu trừ hàng tháng đến hạn nhưng chưa được khấu trừ và các khoản khác mà Bên mua bảo hiểm còn nợ Công ty theo Quy tắc và Điều khoản sản phẩm này.</w:t>
      </w:r>
      <w:r w:rsidR="004A0FDD" w:rsidRPr="00A93525">
        <w:rPr>
          <w:rFonts w:cs="Times New Roman"/>
          <w:color w:val="000000" w:themeColor="text1"/>
          <w:szCs w:val="24"/>
        </w:rPr>
        <w:t xml:space="preserve"> Khoản nợ sẽ được khấu trừ từ bất kỳ khoản tiền nào mà Công ty phải chi trả theo Quy tắc và Điều khoản sản phẩm này.</w:t>
      </w:r>
    </w:p>
    <w:p w:rsidR="00707E64" w:rsidRPr="00A93525" w:rsidRDefault="00707E64" w:rsidP="00212C2C">
      <w:pPr>
        <w:pStyle w:val="Dinhnghia"/>
        <w:ind w:left="630" w:hanging="612"/>
        <w:rPr>
          <w:szCs w:val="24"/>
        </w:rPr>
      </w:pPr>
      <w:r w:rsidRPr="00A93525">
        <w:rPr>
          <w:b/>
          <w:i/>
          <w:szCs w:val="24"/>
        </w:rPr>
        <w:t>“Quỹ hưu trí”</w:t>
      </w:r>
      <w:r w:rsidR="00D60C23" w:rsidRPr="00A93525">
        <w:rPr>
          <w:b/>
          <w:i/>
          <w:szCs w:val="24"/>
        </w:rPr>
        <w:t>:</w:t>
      </w:r>
      <w:r w:rsidRPr="00A93525">
        <w:rPr>
          <w:szCs w:val="24"/>
        </w:rPr>
        <w:t xml:space="preserve"> </w:t>
      </w:r>
      <w:r w:rsidR="00FF45CD" w:rsidRPr="00A93525">
        <w:rPr>
          <w:szCs w:val="24"/>
        </w:rPr>
        <w:t xml:space="preserve">được hình thành từ Phí bảo hiểm cơ bản và Phí bảo hiểm đóng thêm và </w:t>
      </w:r>
      <w:r w:rsidRPr="00A93525">
        <w:rPr>
          <w:szCs w:val="24"/>
        </w:rPr>
        <w:t xml:space="preserve">là </w:t>
      </w:r>
      <w:r w:rsidR="00FF45CD" w:rsidRPr="00A93525">
        <w:rPr>
          <w:szCs w:val="24"/>
        </w:rPr>
        <w:t>tập hợp các Giá trị tài khoản hưu trí của Người được</w:t>
      </w:r>
      <w:r w:rsidR="00701135" w:rsidRPr="00A93525">
        <w:rPr>
          <w:szCs w:val="24"/>
        </w:rPr>
        <w:t xml:space="preserve"> bảo hiểm</w:t>
      </w:r>
      <w:r w:rsidRPr="00A93525">
        <w:rPr>
          <w:szCs w:val="24"/>
        </w:rPr>
        <w:t>.</w:t>
      </w:r>
    </w:p>
    <w:p w:rsidR="001819FF" w:rsidRPr="00A93525" w:rsidRDefault="001819FF" w:rsidP="00212C2C">
      <w:pPr>
        <w:pStyle w:val="Dinhnghia"/>
        <w:ind w:left="630" w:hanging="612"/>
        <w:rPr>
          <w:szCs w:val="24"/>
        </w:rPr>
      </w:pPr>
      <w:r w:rsidRPr="00A93525">
        <w:rPr>
          <w:b/>
          <w:i/>
          <w:szCs w:val="24"/>
        </w:rPr>
        <w:t>“Tỷ lệ hưởng Giá trị tài khoản hưu trí”</w:t>
      </w:r>
      <w:r w:rsidR="005F6A30" w:rsidRPr="00A93525">
        <w:rPr>
          <w:b/>
          <w:i/>
          <w:szCs w:val="24"/>
        </w:rPr>
        <w:t>:</w:t>
      </w:r>
      <w:r w:rsidRPr="00A93525">
        <w:rPr>
          <w:b/>
          <w:i/>
          <w:szCs w:val="24"/>
        </w:rPr>
        <w:t xml:space="preserve"> </w:t>
      </w:r>
      <w:r w:rsidRPr="00A93525">
        <w:rPr>
          <w:szCs w:val="24"/>
        </w:rPr>
        <w:t>là tỷ lệ Người được bảo hiểm được hưởng từ Giá trị tài khoản hưu trí tương ứng với khoản đóng góp của Bên mua bảo hiểm theo thỏa thuận giữa Bên mua bảo hiểm và Người được bảo hiểm.</w:t>
      </w:r>
      <w:r w:rsidRPr="00A93525">
        <w:rPr>
          <w:i/>
          <w:szCs w:val="24"/>
        </w:rPr>
        <w:t xml:space="preserve"> </w:t>
      </w:r>
    </w:p>
    <w:p w:rsidR="007908FB" w:rsidRPr="00A93525" w:rsidRDefault="00E92DBE" w:rsidP="00A93525">
      <w:pPr>
        <w:pStyle w:val="Heading1"/>
        <w:keepNext w:val="0"/>
        <w:keepLines w:val="0"/>
        <w:spacing w:before="0"/>
        <w:jc w:val="both"/>
        <w:rPr>
          <w:szCs w:val="24"/>
        </w:rPr>
      </w:pPr>
      <w:bookmarkStart w:id="12" w:name="_Toc496706456"/>
      <w:bookmarkStart w:id="13" w:name="_Toc496717740"/>
      <w:bookmarkStart w:id="14" w:name="_Toc498701173"/>
      <w:r w:rsidRPr="00A93525">
        <w:rPr>
          <w:caps w:val="0"/>
          <w:szCs w:val="24"/>
        </w:rPr>
        <w:t>HỢP ĐỒNG BẢO HIỂM</w:t>
      </w:r>
      <w:r w:rsidR="00A92FB1" w:rsidRPr="00A93525">
        <w:rPr>
          <w:caps w:val="0"/>
          <w:szCs w:val="24"/>
        </w:rPr>
        <w:t xml:space="preserve"> HƯU TRÍ</w:t>
      </w:r>
      <w:bookmarkEnd w:id="12"/>
      <w:bookmarkEnd w:id="13"/>
      <w:bookmarkEnd w:id="14"/>
    </w:p>
    <w:p w:rsidR="00502151" w:rsidRPr="00A93525" w:rsidRDefault="00502151" w:rsidP="00A93525">
      <w:pPr>
        <w:pStyle w:val="Heading2"/>
        <w:keepNext w:val="0"/>
        <w:keepLines w:val="0"/>
        <w:spacing w:before="0"/>
        <w:jc w:val="both"/>
        <w:rPr>
          <w:szCs w:val="24"/>
        </w:rPr>
      </w:pPr>
      <w:r w:rsidRPr="00A93525">
        <w:rPr>
          <w:szCs w:val="24"/>
        </w:rPr>
        <w:t>Hợp đồng bảo hiểm</w:t>
      </w:r>
      <w:r w:rsidR="00A92FB1" w:rsidRPr="00A93525">
        <w:rPr>
          <w:szCs w:val="24"/>
        </w:rPr>
        <w:t xml:space="preserve"> hưu trí</w:t>
      </w:r>
    </w:p>
    <w:p w:rsidR="00E347B0" w:rsidRPr="00A93525" w:rsidRDefault="008942F6" w:rsidP="00212C2C">
      <w:pPr>
        <w:jc w:val="both"/>
        <w:rPr>
          <w:szCs w:val="24"/>
        </w:rPr>
      </w:pPr>
      <w:r w:rsidRPr="00A93525">
        <w:rPr>
          <w:szCs w:val="24"/>
        </w:rPr>
        <w:t>L</w:t>
      </w:r>
      <w:r w:rsidR="00E347B0" w:rsidRPr="00A93525">
        <w:rPr>
          <w:szCs w:val="24"/>
        </w:rPr>
        <w:t xml:space="preserve">à thỏa thuận bằng văn bản </w:t>
      </w:r>
      <w:r w:rsidR="003503ED" w:rsidRPr="00A93525">
        <w:rPr>
          <w:szCs w:val="24"/>
        </w:rPr>
        <w:t xml:space="preserve">giữa Bên mua bảo hiểm </w:t>
      </w:r>
      <w:r w:rsidR="00E347B0" w:rsidRPr="00A93525">
        <w:rPr>
          <w:szCs w:val="24"/>
        </w:rPr>
        <w:t xml:space="preserve">và Công ty, trong đó ghi nhận quyền và nghĩa vụ của các bên trong quá trình thực hiện hợp đồng. </w:t>
      </w:r>
      <w:r w:rsidR="00701135" w:rsidRPr="00A93525">
        <w:rPr>
          <w:szCs w:val="24"/>
        </w:rPr>
        <w:t xml:space="preserve">Hợp đồng bảo hiểm hưu trí </w:t>
      </w:r>
      <w:r w:rsidR="00E347B0" w:rsidRPr="00A93525">
        <w:rPr>
          <w:szCs w:val="24"/>
        </w:rPr>
        <w:t xml:space="preserve">bao gồm các tài liệu sau: </w:t>
      </w:r>
    </w:p>
    <w:p w:rsidR="00E347B0" w:rsidRPr="00A93525" w:rsidRDefault="00E347B0" w:rsidP="00212C2C">
      <w:pPr>
        <w:pStyle w:val="ListParagraph"/>
        <w:numPr>
          <w:ilvl w:val="0"/>
          <w:numId w:val="6"/>
        </w:numPr>
        <w:spacing w:line="276" w:lineRule="auto"/>
        <w:jc w:val="both"/>
        <w:rPr>
          <w:szCs w:val="24"/>
        </w:rPr>
      </w:pPr>
      <w:r w:rsidRPr="00A93525">
        <w:rPr>
          <w:szCs w:val="24"/>
        </w:rPr>
        <w:t xml:space="preserve">Hồ sơ </w:t>
      </w:r>
      <w:r w:rsidR="00DD4DE2" w:rsidRPr="00A93525">
        <w:rPr>
          <w:szCs w:val="24"/>
        </w:rPr>
        <w:t>đăng ký tham gia kế hoạch</w:t>
      </w:r>
      <w:r w:rsidR="00DA5629" w:rsidRPr="00A93525">
        <w:rPr>
          <w:szCs w:val="24"/>
        </w:rPr>
        <w:t xml:space="preserve"> hưu trí</w:t>
      </w:r>
      <w:r w:rsidRPr="00A93525">
        <w:rPr>
          <w:szCs w:val="24"/>
        </w:rPr>
        <w:t>;</w:t>
      </w:r>
    </w:p>
    <w:p w:rsidR="00E347B0" w:rsidRPr="00A93525" w:rsidRDefault="00184778" w:rsidP="00212C2C">
      <w:pPr>
        <w:pStyle w:val="ListParagraph"/>
        <w:numPr>
          <w:ilvl w:val="0"/>
          <w:numId w:val="6"/>
        </w:numPr>
        <w:spacing w:line="276" w:lineRule="auto"/>
        <w:jc w:val="both"/>
        <w:rPr>
          <w:szCs w:val="24"/>
        </w:rPr>
      </w:pPr>
      <w:r w:rsidRPr="00A93525">
        <w:rPr>
          <w:szCs w:val="24"/>
        </w:rPr>
        <w:t>Giấy chứng nhận bảo hiểm</w:t>
      </w:r>
      <w:r w:rsidR="00E347B0" w:rsidRPr="00A93525">
        <w:rPr>
          <w:szCs w:val="24"/>
        </w:rPr>
        <w:t>;</w:t>
      </w:r>
    </w:p>
    <w:p w:rsidR="00E347B0" w:rsidRPr="00A93525" w:rsidRDefault="00E347B0" w:rsidP="00212C2C">
      <w:pPr>
        <w:pStyle w:val="ListParagraph"/>
        <w:numPr>
          <w:ilvl w:val="0"/>
          <w:numId w:val="6"/>
        </w:numPr>
        <w:spacing w:line="276" w:lineRule="auto"/>
        <w:jc w:val="both"/>
        <w:rPr>
          <w:szCs w:val="24"/>
        </w:rPr>
      </w:pPr>
      <w:r w:rsidRPr="00A93525">
        <w:rPr>
          <w:szCs w:val="24"/>
        </w:rPr>
        <w:t>Quy tắc và Điều khoản sản phẩm đã được Bộ Tài chính phê chuẩn;</w:t>
      </w:r>
    </w:p>
    <w:p w:rsidR="003503ED" w:rsidRPr="00A93525" w:rsidRDefault="00C25EBD" w:rsidP="00212C2C">
      <w:pPr>
        <w:pStyle w:val="ListParagraph"/>
        <w:numPr>
          <w:ilvl w:val="0"/>
          <w:numId w:val="6"/>
        </w:numPr>
        <w:spacing w:line="276" w:lineRule="auto"/>
        <w:jc w:val="both"/>
        <w:rPr>
          <w:szCs w:val="24"/>
        </w:rPr>
      </w:pPr>
      <w:r w:rsidRPr="00A93525">
        <w:rPr>
          <w:szCs w:val="24"/>
        </w:rPr>
        <w:t xml:space="preserve">Bảng minh họa </w:t>
      </w:r>
      <w:r w:rsidR="001E5E0A" w:rsidRPr="00A93525">
        <w:rPr>
          <w:szCs w:val="24"/>
        </w:rPr>
        <w:t>quyền lợi bảo hiểm</w:t>
      </w:r>
      <w:r w:rsidR="00E347B0" w:rsidRPr="00A93525">
        <w:rPr>
          <w:szCs w:val="24"/>
        </w:rPr>
        <w:t>;</w:t>
      </w:r>
    </w:p>
    <w:p w:rsidR="00F259B7" w:rsidRPr="00A93525" w:rsidRDefault="00F259B7" w:rsidP="00212C2C">
      <w:pPr>
        <w:pStyle w:val="ListParagraph"/>
        <w:numPr>
          <w:ilvl w:val="0"/>
          <w:numId w:val="6"/>
        </w:numPr>
        <w:spacing w:line="276" w:lineRule="auto"/>
        <w:jc w:val="both"/>
        <w:rPr>
          <w:szCs w:val="24"/>
        </w:rPr>
      </w:pPr>
      <w:r w:rsidRPr="00A93525">
        <w:rPr>
          <w:szCs w:val="24"/>
        </w:rPr>
        <w:t>Bất kỳ cam kết, tuyên bố,</w:t>
      </w:r>
      <w:r w:rsidR="003503ED" w:rsidRPr="00A93525">
        <w:rPr>
          <w:szCs w:val="24"/>
        </w:rPr>
        <w:t xml:space="preserve"> sửa đổi</w:t>
      </w:r>
      <w:r w:rsidRPr="00A93525">
        <w:rPr>
          <w:szCs w:val="24"/>
        </w:rPr>
        <w:t xml:space="preserve"> bằng văn bản nào theo thỏa thuận của Người được bảo hiểm hoặc Bên mua bảo hiểm với Công ty</w:t>
      </w:r>
      <w:r w:rsidR="0038234B">
        <w:rPr>
          <w:szCs w:val="24"/>
        </w:rPr>
        <w:t xml:space="preserve"> (nếu có)</w:t>
      </w:r>
      <w:r w:rsidRPr="00A93525">
        <w:rPr>
          <w:szCs w:val="24"/>
        </w:rPr>
        <w:t xml:space="preserve">; </w:t>
      </w:r>
    </w:p>
    <w:p w:rsidR="003503ED" w:rsidRPr="00A93525" w:rsidRDefault="00F259B7" w:rsidP="00212C2C">
      <w:pPr>
        <w:pStyle w:val="ListParagraph"/>
        <w:numPr>
          <w:ilvl w:val="0"/>
          <w:numId w:val="6"/>
        </w:numPr>
        <w:spacing w:line="276" w:lineRule="auto"/>
        <w:jc w:val="both"/>
        <w:rPr>
          <w:szCs w:val="24"/>
        </w:rPr>
      </w:pPr>
      <w:r w:rsidRPr="00A93525">
        <w:rPr>
          <w:szCs w:val="24"/>
        </w:rPr>
        <w:t>Các văn bản</w:t>
      </w:r>
      <w:r w:rsidR="003503ED" w:rsidRPr="00A93525">
        <w:rPr>
          <w:szCs w:val="24"/>
        </w:rPr>
        <w:t xml:space="preserve">, </w:t>
      </w:r>
      <w:r w:rsidRPr="00A93525">
        <w:rPr>
          <w:szCs w:val="24"/>
        </w:rPr>
        <w:t>t</w:t>
      </w:r>
      <w:r w:rsidR="00A256C0" w:rsidRPr="00A93525">
        <w:rPr>
          <w:szCs w:val="24"/>
        </w:rPr>
        <w:t>à</w:t>
      </w:r>
      <w:r w:rsidRPr="00A93525">
        <w:rPr>
          <w:szCs w:val="24"/>
        </w:rPr>
        <w:t>i liệu khác được đưa vào tham chiếu theo quy định hiện hành của Công ty</w:t>
      </w:r>
      <w:r w:rsidR="003503ED" w:rsidRPr="00A93525">
        <w:rPr>
          <w:szCs w:val="24"/>
        </w:rPr>
        <w:t>.</w:t>
      </w:r>
    </w:p>
    <w:p w:rsidR="00767F25" w:rsidRPr="00A93525" w:rsidRDefault="00767F25" w:rsidP="00212C2C">
      <w:pPr>
        <w:jc w:val="both"/>
        <w:rPr>
          <w:szCs w:val="24"/>
        </w:rPr>
      </w:pPr>
      <w:r w:rsidRPr="00A93525">
        <w:rPr>
          <w:szCs w:val="24"/>
        </w:rPr>
        <w:t xml:space="preserve">Trong thời gian </w:t>
      </w:r>
      <w:r w:rsidR="00701135" w:rsidRPr="00A93525">
        <w:rPr>
          <w:szCs w:val="24"/>
        </w:rPr>
        <w:t xml:space="preserve">Hợp đồng bảo hiểm hưu trí </w:t>
      </w:r>
      <w:r w:rsidRPr="00A93525">
        <w:rPr>
          <w:szCs w:val="24"/>
        </w:rPr>
        <w:t>c</w:t>
      </w:r>
      <w:r w:rsidR="00A92FB1" w:rsidRPr="00A93525">
        <w:rPr>
          <w:szCs w:val="24"/>
        </w:rPr>
        <w:t>ó</w:t>
      </w:r>
      <w:r w:rsidRPr="00A93525">
        <w:rPr>
          <w:szCs w:val="24"/>
        </w:rPr>
        <w:t xml:space="preserve"> hiệu lực, Bên mua bảo hiểm có thể cập nhật danh sách Người được bảo hiểm theo định kỳ được thỏa thuận giữa Bên mua bảo hiểm và Công ty. Việc chấp thuận tham gia Hợp đồng </w:t>
      </w:r>
      <w:r w:rsidR="00D60C23" w:rsidRPr="00A93525">
        <w:rPr>
          <w:szCs w:val="24"/>
        </w:rPr>
        <w:t xml:space="preserve">bảo hiểm </w:t>
      </w:r>
      <w:r w:rsidRPr="00A93525">
        <w:rPr>
          <w:szCs w:val="24"/>
        </w:rPr>
        <w:t xml:space="preserve">hưu trí cho các người lao động mới sẽ tùy thuộc vào các điều kiện của Người được bảo hiểm và các quy định của Công ty tại thời điểm Người được bảo hiểm đăng ký tham gia. Việc bổ sung thêm danh sách Người được bảo hiểm mới sẽ có hiệu lực từ ngày Công ty nhận được khoản </w:t>
      </w:r>
      <w:r w:rsidR="00CF0D87" w:rsidRPr="00A93525">
        <w:rPr>
          <w:szCs w:val="24"/>
        </w:rPr>
        <w:t>Phí bảo hiểm cơ bản</w:t>
      </w:r>
      <w:r w:rsidRPr="00A93525">
        <w:rPr>
          <w:szCs w:val="24"/>
        </w:rPr>
        <w:t xml:space="preserve"> đóng góp cho Người được bảo hiểm đó</w:t>
      </w:r>
      <w:r w:rsidR="008C4FC7" w:rsidRPr="00A93525">
        <w:rPr>
          <w:szCs w:val="24"/>
        </w:rPr>
        <w:t xml:space="preserve"> và </w:t>
      </w:r>
      <w:r w:rsidR="00CF0D87" w:rsidRPr="00A93525">
        <w:rPr>
          <w:szCs w:val="24"/>
        </w:rPr>
        <w:t>Hồ sơ đăng ký tham gia kế hoạch hưu trí</w:t>
      </w:r>
      <w:r w:rsidRPr="00A93525">
        <w:rPr>
          <w:szCs w:val="24"/>
        </w:rPr>
        <w:t>.</w:t>
      </w:r>
    </w:p>
    <w:p w:rsidR="00502151" w:rsidRPr="00A93525" w:rsidRDefault="00CF0D87" w:rsidP="00A93525">
      <w:pPr>
        <w:pStyle w:val="Heading2"/>
        <w:keepNext w:val="0"/>
        <w:keepLines w:val="0"/>
        <w:spacing w:before="0"/>
        <w:jc w:val="both"/>
        <w:rPr>
          <w:szCs w:val="24"/>
        </w:rPr>
      </w:pPr>
      <w:bookmarkStart w:id="15" w:name="_Toc493667181"/>
      <w:bookmarkStart w:id="16" w:name="_Toc493667384"/>
      <w:bookmarkStart w:id="17" w:name="_Toc493688988"/>
      <w:bookmarkEnd w:id="15"/>
      <w:bookmarkEnd w:id="16"/>
      <w:bookmarkEnd w:id="17"/>
      <w:r w:rsidRPr="00A93525">
        <w:rPr>
          <w:szCs w:val="24"/>
        </w:rPr>
        <w:t>Hồ sơ đăng ký tham gia kế hoạch hưu trí</w:t>
      </w:r>
      <w:r w:rsidR="00266577" w:rsidRPr="00A93525">
        <w:rPr>
          <w:szCs w:val="24"/>
        </w:rPr>
        <w:t xml:space="preserve"> </w:t>
      </w:r>
    </w:p>
    <w:p w:rsidR="00E510BD" w:rsidRPr="00A93525" w:rsidRDefault="00E510BD" w:rsidP="00212C2C">
      <w:pPr>
        <w:jc w:val="both"/>
        <w:rPr>
          <w:szCs w:val="24"/>
        </w:rPr>
      </w:pPr>
      <w:r w:rsidRPr="00A93525">
        <w:rPr>
          <w:szCs w:val="24"/>
        </w:rPr>
        <w:t xml:space="preserve">Là văn bản yêu cầu bảo hiểm </w:t>
      </w:r>
      <w:r w:rsidR="00266577" w:rsidRPr="00A93525">
        <w:rPr>
          <w:szCs w:val="24"/>
        </w:rPr>
        <w:t xml:space="preserve">hưu trí </w:t>
      </w:r>
      <w:r w:rsidRPr="00A93525">
        <w:rPr>
          <w:szCs w:val="24"/>
        </w:rPr>
        <w:t xml:space="preserve">theo mẫu của Công ty, trong đó ghi các nội dung đề nghị tham gia bảo hiểm </w:t>
      </w:r>
      <w:r w:rsidR="00266577" w:rsidRPr="00A93525">
        <w:rPr>
          <w:szCs w:val="24"/>
        </w:rPr>
        <w:t xml:space="preserve">hưu trí </w:t>
      </w:r>
      <w:r w:rsidRPr="00A93525">
        <w:rPr>
          <w:szCs w:val="24"/>
        </w:rPr>
        <w:t xml:space="preserve">và thông tin do người đề nghị tham gia bảo hiểm </w:t>
      </w:r>
      <w:r w:rsidR="00266577" w:rsidRPr="00A93525">
        <w:rPr>
          <w:szCs w:val="24"/>
        </w:rPr>
        <w:t xml:space="preserve">hưu trí </w:t>
      </w:r>
      <w:r w:rsidRPr="00A93525">
        <w:rPr>
          <w:szCs w:val="24"/>
        </w:rPr>
        <w:t xml:space="preserve">cung cấp để Công ty đánh giá rủi ro, làm căn cứ chấp nhận bảo hiểm hoặc từ chối bảo hiểm. </w:t>
      </w:r>
      <w:r w:rsidR="00CF0D87" w:rsidRPr="00A93525">
        <w:rPr>
          <w:szCs w:val="24"/>
        </w:rPr>
        <w:t>Hồ sơ đăng ký tham gia kế hoạch hưu trí</w:t>
      </w:r>
      <w:r w:rsidRPr="00A93525">
        <w:rPr>
          <w:szCs w:val="24"/>
        </w:rPr>
        <w:t xml:space="preserve"> do Người được bảo hiểm kê khai, ký tên và cung cấp cho Công ty.</w:t>
      </w:r>
    </w:p>
    <w:p w:rsidR="00502151" w:rsidRPr="00A93525" w:rsidRDefault="00184778" w:rsidP="00A93525">
      <w:pPr>
        <w:pStyle w:val="Heading2"/>
        <w:keepNext w:val="0"/>
        <w:keepLines w:val="0"/>
        <w:spacing w:before="0"/>
        <w:jc w:val="both"/>
        <w:rPr>
          <w:szCs w:val="24"/>
        </w:rPr>
      </w:pPr>
      <w:r w:rsidRPr="00A93525">
        <w:rPr>
          <w:szCs w:val="24"/>
        </w:rPr>
        <w:lastRenderedPageBreak/>
        <w:t>Giấy chứng nhận bảo hiểm</w:t>
      </w:r>
    </w:p>
    <w:p w:rsidR="00E510BD" w:rsidRPr="00A93525" w:rsidRDefault="00E510BD" w:rsidP="00212C2C">
      <w:pPr>
        <w:jc w:val="both"/>
        <w:rPr>
          <w:szCs w:val="24"/>
        </w:rPr>
      </w:pPr>
      <w:r w:rsidRPr="00A93525">
        <w:rPr>
          <w:szCs w:val="24"/>
        </w:rPr>
        <w:t>Là văn bản do Công ty cấp cho Người được bảo hiểm, trong đó thể hiện các thông tin cơ bản của Hợp đồng bảo hiểm</w:t>
      </w:r>
      <w:r w:rsidR="00B97089" w:rsidRPr="00A93525">
        <w:rPr>
          <w:szCs w:val="24"/>
        </w:rPr>
        <w:t xml:space="preserve"> hưu trí</w:t>
      </w:r>
      <w:r w:rsidRPr="00A93525">
        <w:rPr>
          <w:szCs w:val="24"/>
        </w:rPr>
        <w:t>, và là một phần không tách rời của Hợp đồng bảo hiểm</w:t>
      </w:r>
      <w:r w:rsidR="00E62061" w:rsidRPr="00A93525">
        <w:rPr>
          <w:szCs w:val="24"/>
        </w:rPr>
        <w:t xml:space="preserve"> hưu trí</w:t>
      </w:r>
      <w:r w:rsidRPr="00A93525">
        <w:rPr>
          <w:szCs w:val="24"/>
        </w:rPr>
        <w:t>.</w:t>
      </w:r>
    </w:p>
    <w:p w:rsidR="0026525A" w:rsidRPr="00A93525" w:rsidRDefault="001E5E0A" w:rsidP="00A93525">
      <w:pPr>
        <w:pStyle w:val="Heading2"/>
        <w:keepNext w:val="0"/>
        <w:keepLines w:val="0"/>
        <w:spacing w:before="0"/>
        <w:jc w:val="both"/>
        <w:rPr>
          <w:szCs w:val="24"/>
        </w:rPr>
      </w:pPr>
      <w:r w:rsidRPr="00A93525">
        <w:rPr>
          <w:szCs w:val="24"/>
        </w:rPr>
        <w:t>Bảng minh họa quyền lợi bảo hiểm</w:t>
      </w:r>
    </w:p>
    <w:p w:rsidR="00E510BD" w:rsidRPr="00A93525" w:rsidRDefault="00E510BD" w:rsidP="00212C2C">
      <w:pPr>
        <w:jc w:val="both"/>
        <w:rPr>
          <w:szCs w:val="24"/>
        </w:rPr>
      </w:pPr>
      <w:r w:rsidRPr="00A93525">
        <w:rPr>
          <w:szCs w:val="24"/>
        </w:rPr>
        <w:t xml:space="preserve">Là tài liệu minh họa về sản phẩm được cung cấp cho Bên mua bảo hiểm/Người được bảo hiểm, thể hiện các thông tin cơ bản về </w:t>
      </w:r>
      <w:r w:rsidR="00701135" w:rsidRPr="00A93525">
        <w:rPr>
          <w:szCs w:val="24"/>
        </w:rPr>
        <w:t xml:space="preserve">Hợp đồng bảo hiểm hưu trí </w:t>
      </w:r>
      <w:r w:rsidRPr="00A93525">
        <w:rPr>
          <w:szCs w:val="24"/>
        </w:rPr>
        <w:t>theo điều kiện, điều khoản bảo hiểm được thỏa thuận giữa Bên mua bảo hiểm và Công ty.</w:t>
      </w:r>
    </w:p>
    <w:p w:rsidR="007908FB" w:rsidRPr="00A93525" w:rsidRDefault="00E92DBE" w:rsidP="00A93525">
      <w:pPr>
        <w:pStyle w:val="Heading1"/>
        <w:keepNext w:val="0"/>
        <w:keepLines w:val="0"/>
        <w:spacing w:before="0"/>
        <w:jc w:val="both"/>
        <w:rPr>
          <w:szCs w:val="24"/>
        </w:rPr>
      </w:pPr>
      <w:bookmarkStart w:id="18" w:name="_Toc494386024"/>
      <w:bookmarkStart w:id="19" w:name="_Toc494386025"/>
      <w:bookmarkStart w:id="20" w:name="_Ref493583819"/>
      <w:bookmarkStart w:id="21" w:name="_Toc496706457"/>
      <w:bookmarkStart w:id="22" w:name="_Toc496717741"/>
      <w:bookmarkStart w:id="23" w:name="_Toc498701174"/>
      <w:bookmarkEnd w:id="18"/>
      <w:bookmarkEnd w:id="19"/>
      <w:r w:rsidRPr="00A93525">
        <w:rPr>
          <w:caps w:val="0"/>
          <w:szCs w:val="24"/>
        </w:rPr>
        <w:t>THỜI GIAN GIA HẠN ĐÓNG PHÍ</w:t>
      </w:r>
      <w:bookmarkEnd w:id="20"/>
      <w:bookmarkEnd w:id="21"/>
      <w:bookmarkEnd w:id="22"/>
      <w:bookmarkEnd w:id="23"/>
    </w:p>
    <w:p w:rsidR="00F6450D" w:rsidRPr="00A93525" w:rsidRDefault="00F6450D" w:rsidP="00212C2C">
      <w:pPr>
        <w:jc w:val="both"/>
        <w:rPr>
          <w:szCs w:val="24"/>
        </w:rPr>
      </w:pPr>
      <w:r w:rsidRPr="00A93525">
        <w:rPr>
          <w:szCs w:val="24"/>
        </w:rPr>
        <w:t xml:space="preserve">Thời gian gia hạn đóng phí là 60 ngày kể từ thời điểm Giá trị tài khoản hưu trí nhỏ hơn </w:t>
      </w:r>
      <w:r w:rsidR="00767F25" w:rsidRPr="00A93525">
        <w:rPr>
          <w:szCs w:val="24"/>
        </w:rPr>
        <w:t>Khoản khấu trừ hàng tháng</w:t>
      </w:r>
      <w:r w:rsidR="00A92FB1" w:rsidRPr="00A93525">
        <w:rPr>
          <w:szCs w:val="24"/>
        </w:rPr>
        <w:t xml:space="preserve"> trong Thời hạn tích lũy</w:t>
      </w:r>
      <w:r w:rsidRPr="00A93525">
        <w:rPr>
          <w:szCs w:val="24"/>
        </w:rPr>
        <w:t>. Trong thời gian gia hạn đóng phí này, Hợp đồng b</w:t>
      </w:r>
      <w:r w:rsidR="00D60C23" w:rsidRPr="00A93525">
        <w:rPr>
          <w:szCs w:val="24"/>
        </w:rPr>
        <w:t>ả</w:t>
      </w:r>
      <w:r w:rsidRPr="00A93525">
        <w:rPr>
          <w:szCs w:val="24"/>
        </w:rPr>
        <w:t xml:space="preserve">o hiểm </w:t>
      </w:r>
      <w:r w:rsidR="00862FEC" w:rsidRPr="00A93525">
        <w:rPr>
          <w:szCs w:val="24"/>
        </w:rPr>
        <w:t xml:space="preserve">hưu trí </w:t>
      </w:r>
      <w:r w:rsidRPr="00A93525">
        <w:rPr>
          <w:szCs w:val="24"/>
        </w:rPr>
        <w:t>vẫn có hiệu lực.</w:t>
      </w:r>
    </w:p>
    <w:p w:rsidR="005F27E9" w:rsidRPr="00A93525" w:rsidRDefault="005F27E9" w:rsidP="00212C2C">
      <w:pPr>
        <w:jc w:val="both"/>
        <w:rPr>
          <w:szCs w:val="24"/>
        </w:rPr>
      </w:pPr>
      <w:r w:rsidRPr="00A93525">
        <w:rPr>
          <w:szCs w:val="24"/>
        </w:rPr>
        <w:t>Nếu Bên mua bảo hiểm không tiếp tục đóng phí bảo hiểm khi kết thúc thời gian gia hạn đóng phí, Hợp đồng bảo hiểm</w:t>
      </w:r>
      <w:r w:rsidR="00862FEC" w:rsidRPr="00A93525">
        <w:rPr>
          <w:szCs w:val="24"/>
        </w:rPr>
        <w:t xml:space="preserve"> hưu trí</w:t>
      </w:r>
      <w:r w:rsidR="00450284" w:rsidRPr="00A93525">
        <w:rPr>
          <w:szCs w:val="24"/>
        </w:rPr>
        <w:t xml:space="preserve"> sẽ mất hiệu lực và các quyền lợi bảo hiểm của Hợp đồng bảo hiểm hưu trí cũng sẽ </w:t>
      </w:r>
      <w:r w:rsidR="002C738C" w:rsidRPr="00A93525">
        <w:rPr>
          <w:szCs w:val="24"/>
        </w:rPr>
        <w:t>chấm dứt</w:t>
      </w:r>
      <w:r w:rsidR="00450284" w:rsidRPr="00A93525">
        <w:rPr>
          <w:szCs w:val="24"/>
        </w:rPr>
        <w:t xml:space="preserve"> kể từ ngày kết thúc thời gian gia hạn đóng phí</w:t>
      </w:r>
      <w:r w:rsidRPr="00A93525">
        <w:rPr>
          <w:szCs w:val="24"/>
        </w:rPr>
        <w:t>.</w:t>
      </w:r>
      <w:r w:rsidR="00F44159" w:rsidRPr="00A93525">
        <w:rPr>
          <w:szCs w:val="24"/>
        </w:rPr>
        <w:t xml:space="preserve"> </w:t>
      </w:r>
    </w:p>
    <w:p w:rsidR="007908FB" w:rsidRPr="00A93525" w:rsidRDefault="00E92DBE" w:rsidP="00A93525">
      <w:pPr>
        <w:pStyle w:val="Heading1"/>
        <w:keepNext w:val="0"/>
        <w:keepLines w:val="0"/>
        <w:spacing w:before="0"/>
        <w:jc w:val="both"/>
        <w:rPr>
          <w:szCs w:val="24"/>
        </w:rPr>
      </w:pPr>
      <w:bookmarkStart w:id="24" w:name="_Toc496706458"/>
      <w:bookmarkStart w:id="25" w:name="_Toc496717742"/>
      <w:bookmarkStart w:id="26" w:name="_Toc498701175"/>
      <w:r w:rsidRPr="00A93525">
        <w:rPr>
          <w:caps w:val="0"/>
          <w:szCs w:val="24"/>
        </w:rPr>
        <w:t>CÁC KHOẢN PHÍ CÓ THỂ KHẤU TRỪ</w:t>
      </w:r>
      <w:bookmarkEnd w:id="24"/>
      <w:bookmarkEnd w:id="25"/>
      <w:bookmarkEnd w:id="26"/>
    </w:p>
    <w:p w:rsidR="005F27E9" w:rsidRPr="00A93525" w:rsidRDefault="00F60BAF" w:rsidP="00212C2C">
      <w:pPr>
        <w:jc w:val="both"/>
        <w:rPr>
          <w:szCs w:val="24"/>
        </w:rPr>
      </w:pPr>
      <w:r w:rsidRPr="00A93525">
        <w:rPr>
          <w:szCs w:val="24"/>
        </w:rPr>
        <w:t xml:space="preserve">Tất cả các khoản phí quy định tại đây </w:t>
      </w:r>
      <w:r w:rsidR="005F27E9" w:rsidRPr="00A93525">
        <w:rPr>
          <w:szCs w:val="24"/>
        </w:rPr>
        <w:t xml:space="preserve">có thể </w:t>
      </w:r>
      <w:r w:rsidRPr="00A93525">
        <w:rPr>
          <w:szCs w:val="24"/>
        </w:rPr>
        <w:t xml:space="preserve">được </w:t>
      </w:r>
      <w:r w:rsidR="005F27E9" w:rsidRPr="00A93525">
        <w:rPr>
          <w:szCs w:val="24"/>
        </w:rPr>
        <w:t xml:space="preserve">thay đổi </w:t>
      </w:r>
      <w:r w:rsidRPr="00A93525">
        <w:rPr>
          <w:szCs w:val="24"/>
        </w:rPr>
        <w:t xml:space="preserve">tùy thuộc vào sự chấp thuận của </w:t>
      </w:r>
      <w:r w:rsidR="009D7FA6" w:rsidRPr="00A93525">
        <w:rPr>
          <w:szCs w:val="24"/>
        </w:rPr>
        <w:t xml:space="preserve">Bộ Tài chính. Mọi thay đổi </w:t>
      </w:r>
      <w:r w:rsidRPr="00A93525">
        <w:rPr>
          <w:szCs w:val="24"/>
        </w:rPr>
        <w:t xml:space="preserve">sau khi được Bộ Tài chính chấp thuận </w:t>
      </w:r>
      <w:r w:rsidR="009D7FA6" w:rsidRPr="00A93525">
        <w:rPr>
          <w:szCs w:val="24"/>
        </w:rPr>
        <w:t>sẽ được</w:t>
      </w:r>
      <w:r w:rsidR="005F27E9" w:rsidRPr="00A93525">
        <w:rPr>
          <w:szCs w:val="24"/>
        </w:rPr>
        <w:t xml:space="preserve"> thông báo với Bên mua bảo hiểm bằng văn bản ít nhất ba (03) tháng trước thời điểm </w:t>
      </w:r>
      <w:r w:rsidRPr="00A93525">
        <w:rPr>
          <w:szCs w:val="24"/>
        </w:rPr>
        <w:t>áp dụng</w:t>
      </w:r>
      <w:r w:rsidR="005F27E9" w:rsidRPr="00A93525">
        <w:rPr>
          <w:szCs w:val="24"/>
        </w:rPr>
        <w:t>.</w:t>
      </w:r>
    </w:p>
    <w:p w:rsidR="005F27E9" w:rsidRPr="00A93525" w:rsidRDefault="005F27E9" w:rsidP="00A93525">
      <w:pPr>
        <w:pStyle w:val="Heading2"/>
        <w:keepNext w:val="0"/>
        <w:keepLines w:val="0"/>
        <w:spacing w:before="0"/>
        <w:jc w:val="both"/>
        <w:rPr>
          <w:szCs w:val="24"/>
        </w:rPr>
      </w:pPr>
      <w:r w:rsidRPr="00A93525">
        <w:rPr>
          <w:szCs w:val="24"/>
        </w:rPr>
        <w:t>Phí ban đầu</w:t>
      </w:r>
    </w:p>
    <w:p w:rsidR="00F35811" w:rsidRPr="00A93525" w:rsidRDefault="00F35811" w:rsidP="00212C2C">
      <w:pPr>
        <w:jc w:val="both"/>
        <w:rPr>
          <w:szCs w:val="24"/>
        </w:rPr>
      </w:pPr>
      <w:r w:rsidRPr="00A93525">
        <w:rPr>
          <w:szCs w:val="24"/>
        </w:rPr>
        <w:t xml:space="preserve">Là toàn bộ các khoản phí mà Công ty được phép khấu trừ từ </w:t>
      </w:r>
      <w:r w:rsidR="00CF0D87" w:rsidRPr="00A93525">
        <w:rPr>
          <w:szCs w:val="24"/>
        </w:rPr>
        <w:t>Phí bảo hiểm cơ bản</w:t>
      </w:r>
      <w:r w:rsidRPr="00A93525">
        <w:rPr>
          <w:szCs w:val="24"/>
        </w:rPr>
        <w:t xml:space="preserve"> và </w:t>
      </w:r>
      <w:r w:rsidR="00CF0D87" w:rsidRPr="00A93525">
        <w:rPr>
          <w:szCs w:val="24"/>
        </w:rPr>
        <w:t>Phí bảo hiểm đóng thêm</w:t>
      </w:r>
      <w:r w:rsidRPr="00A93525">
        <w:rPr>
          <w:szCs w:val="24"/>
        </w:rPr>
        <w:t xml:space="preserve"> thu được tại mỗi lần đóng phí trước khi phân bổ vào Giá trị tài khoản hưu trí. </w:t>
      </w:r>
      <w:r w:rsidR="002B7331" w:rsidRPr="00A93525">
        <w:rPr>
          <w:szCs w:val="24"/>
        </w:rPr>
        <w:t>P</w:t>
      </w:r>
      <w:r w:rsidRPr="00A93525">
        <w:rPr>
          <w:szCs w:val="24"/>
        </w:rPr>
        <w:t xml:space="preserve">hí ban đầu không áp dụng đối với </w:t>
      </w:r>
      <w:r w:rsidR="001D5022" w:rsidRPr="00A93525">
        <w:rPr>
          <w:szCs w:val="24"/>
        </w:rPr>
        <w:t xml:space="preserve">Giá trị </w:t>
      </w:r>
      <w:r w:rsidR="00A92FB1" w:rsidRPr="00A93525">
        <w:rPr>
          <w:szCs w:val="24"/>
        </w:rPr>
        <w:t>t</w:t>
      </w:r>
      <w:r w:rsidRPr="00A93525">
        <w:rPr>
          <w:szCs w:val="24"/>
        </w:rPr>
        <w:t xml:space="preserve">ài khoản hưu trí </w:t>
      </w:r>
      <w:r w:rsidR="00A92FB1" w:rsidRPr="00A93525">
        <w:rPr>
          <w:szCs w:val="24"/>
        </w:rPr>
        <w:t>được chuyển đến từ doanh nghiệp bảo hiểm khác</w:t>
      </w:r>
      <w:r w:rsidR="002B7331" w:rsidRPr="00A93525">
        <w:rPr>
          <w:szCs w:val="24"/>
        </w:rPr>
        <w:t>.</w:t>
      </w:r>
    </w:p>
    <w:p w:rsidR="007C7FEE" w:rsidRPr="00A93525" w:rsidRDefault="002B7331" w:rsidP="00212C2C">
      <w:pPr>
        <w:jc w:val="both"/>
        <w:rPr>
          <w:szCs w:val="24"/>
        </w:rPr>
      </w:pPr>
      <w:r w:rsidRPr="00A93525">
        <w:rPr>
          <w:szCs w:val="24"/>
        </w:rPr>
        <w:t>P</w:t>
      </w:r>
      <w:r w:rsidR="007C7FEE" w:rsidRPr="00A93525">
        <w:rPr>
          <w:szCs w:val="24"/>
        </w:rPr>
        <w:t xml:space="preserve">hí ban đầu </w:t>
      </w:r>
      <w:r w:rsidR="00DA543F">
        <w:rPr>
          <w:szCs w:val="24"/>
        </w:rPr>
        <w:t>được quy định như sau</w:t>
      </w:r>
      <w:r w:rsidR="007C7FEE" w:rsidRPr="00A93525">
        <w:rPr>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1611"/>
        <w:gridCol w:w="1613"/>
        <w:gridCol w:w="1613"/>
        <w:gridCol w:w="1611"/>
      </w:tblGrid>
      <w:tr w:rsidR="0018174F" w:rsidRPr="00A93525" w:rsidTr="00206FD1">
        <w:trPr>
          <w:trHeight w:val="300"/>
          <w:jc w:val="center"/>
        </w:trPr>
        <w:tc>
          <w:tcPr>
            <w:tcW w:w="1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74F" w:rsidRPr="008C7EB5" w:rsidRDefault="0018174F" w:rsidP="00206FD1">
            <w:pPr>
              <w:spacing w:after="0"/>
              <w:jc w:val="center"/>
              <w:rPr>
                <w:rFonts w:cs="Times New Roman"/>
                <w:szCs w:val="24"/>
              </w:rPr>
            </w:pPr>
            <w:r w:rsidRPr="00F42265">
              <w:rPr>
                <w:rFonts w:cs="Times New Roman"/>
                <w:szCs w:val="24"/>
              </w:rPr>
              <w:t>Năm hợ</w:t>
            </w:r>
            <w:r w:rsidRPr="008C7EB5">
              <w:rPr>
                <w:rFonts w:cs="Times New Roman"/>
                <w:szCs w:val="24"/>
              </w:rPr>
              <w:t>p đồng</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174F" w:rsidRPr="00F42265" w:rsidRDefault="0018174F" w:rsidP="003669EB">
            <w:pPr>
              <w:spacing w:after="0"/>
              <w:jc w:val="center"/>
              <w:rPr>
                <w:rFonts w:cs="Times New Roman"/>
                <w:color w:val="000000"/>
                <w:szCs w:val="24"/>
              </w:rPr>
            </w:pPr>
            <w:r w:rsidRPr="00F42265">
              <w:rPr>
                <w:rFonts w:cs="Times New Roman"/>
                <w:color w:val="000000"/>
                <w:szCs w:val="24"/>
              </w:rPr>
              <w:t>1</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4F" w:rsidRPr="00F42265" w:rsidRDefault="0018174F" w:rsidP="003669EB">
            <w:pPr>
              <w:spacing w:after="0"/>
              <w:jc w:val="center"/>
              <w:rPr>
                <w:rFonts w:cs="Times New Roman"/>
                <w:color w:val="000000"/>
                <w:szCs w:val="24"/>
              </w:rPr>
            </w:pPr>
            <w:r w:rsidRPr="00F42265">
              <w:rPr>
                <w:rFonts w:cs="Times New Roman"/>
                <w:color w:val="000000"/>
                <w:szCs w:val="24"/>
              </w:rPr>
              <w:t>2-3</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4F" w:rsidRPr="00F42265" w:rsidRDefault="0018174F" w:rsidP="003669EB">
            <w:pPr>
              <w:spacing w:after="0"/>
              <w:jc w:val="center"/>
              <w:rPr>
                <w:rFonts w:cs="Times New Roman"/>
                <w:color w:val="000000"/>
                <w:szCs w:val="24"/>
              </w:rPr>
            </w:pPr>
            <w:r w:rsidRPr="00F42265">
              <w:rPr>
                <w:rFonts w:cs="Times New Roman"/>
                <w:color w:val="000000"/>
                <w:szCs w:val="24"/>
              </w:rPr>
              <w:t>4-10</w:t>
            </w:r>
          </w:p>
        </w:tc>
        <w:tc>
          <w:tcPr>
            <w:tcW w:w="8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74F" w:rsidRPr="00F42265" w:rsidRDefault="0018174F" w:rsidP="003669EB">
            <w:pPr>
              <w:spacing w:after="0"/>
              <w:jc w:val="center"/>
              <w:rPr>
                <w:rFonts w:cs="Times New Roman"/>
                <w:color w:val="000000"/>
                <w:szCs w:val="24"/>
              </w:rPr>
            </w:pPr>
            <w:r w:rsidRPr="00F42265">
              <w:rPr>
                <w:rFonts w:cs="Times New Roman"/>
                <w:color w:val="000000"/>
                <w:szCs w:val="24"/>
              </w:rPr>
              <w:t>11+</w:t>
            </w:r>
          </w:p>
        </w:tc>
      </w:tr>
      <w:tr w:rsidR="0018174F" w:rsidRPr="00A93525" w:rsidTr="00206FD1">
        <w:trPr>
          <w:trHeight w:val="600"/>
          <w:jc w:val="center"/>
        </w:trPr>
        <w:tc>
          <w:tcPr>
            <w:tcW w:w="1634" w:type="pct"/>
            <w:tcBorders>
              <w:top w:val="single" w:sz="4" w:space="0" w:color="auto"/>
              <w:left w:val="single" w:sz="4" w:space="0" w:color="auto"/>
              <w:bottom w:val="single" w:sz="4" w:space="0" w:color="auto"/>
              <w:right w:val="single" w:sz="4" w:space="0" w:color="auto"/>
            </w:tcBorders>
            <w:vAlign w:val="center"/>
          </w:tcPr>
          <w:p w:rsidR="0018174F" w:rsidRPr="00A93525" w:rsidRDefault="00CF0D87" w:rsidP="00212C2C">
            <w:pPr>
              <w:spacing w:after="0"/>
              <w:jc w:val="both"/>
              <w:rPr>
                <w:rFonts w:cs="Times New Roman"/>
                <w:color w:val="000000"/>
                <w:szCs w:val="24"/>
              </w:rPr>
            </w:pPr>
            <w:r w:rsidRPr="00A93525">
              <w:rPr>
                <w:rFonts w:cs="Times New Roman"/>
                <w:color w:val="000000"/>
                <w:szCs w:val="24"/>
              </w:rPr>
              <w:t>Phí bảo hiểm cơ bản</w:t>
            </w:r>
          </w:p>
        </w:tc>
        <w:tc>
          <w:tcPr>
            <w:tcW w:w="841"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20%</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10%</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1%</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0%</w:t>
            </w:r>
          </w:p>
        </w:tc>
      </w:tr>
      <w:tr w:rsidR="0018174F" w:rsidRPr="00A93525" w:rsidTr="00206FD1">
        <w:trPr>
          <w:trHeight w:val="600"/>
          <w:jc w:val="center"/>
        </w:trPr>
        <w:tc>
          <w:tcPr>
            <w:tcW w:w="1634" w:type="pct"/>
            <w:tcBorders>
              <w:top w:val="single" w:sz="4" w:space="0" w:color="auto"/>
              <w:left w:val="single" w:sz="4" w:space="0" w:color="auto"/>
              <w:bottom w:val="single" w:sz="4" w:space="0" w:color="auto"/>
              <w:right w:val="single" w:sz="4" w:space="0" w:color="auto"/>
            </w:tcBorders>
            <w:vAlign w:val="center"/>
          </w:tcPr>
          <w:p w:rsidR="0018174F" w:rsidRPr="00A93525" w:rsidRDefault="00CF0D87" w:rsidP="00212C2C">
            <w:pPr>
              <w:spacing w:after="0"/>
              <w:jc w:val="both"/>
              <w:rPr>
                <w:rFonts w:cs="Times New Roman"/>
                <w:color w:val="000000"/>
                <w:szCs w:val="24"/>
              </w:rPr>
            </w:pPr>
            <w:r w:rsidRPr="00A93525">
              <w:rPr>
                <w:rFonts w:cs="Times New Roman"/>
                <w:color w:val="000000"/>
                <w:szCs w:val="24"/>
              </w:rPr>
              <w:t>Phí bảo hiểm đóng thêm</w:t>
            </w:r>
          </w:p>
        </w:tc>
        <w:tc>
          <w:tcPr>
            <w:tcW w:w="841"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3%</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2%</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1%</w:t>
            </w:r>
          </w:p>
        </w:tc>
        <w:tc>
          <w:tcPr>
            <w:tcW w:w="842" w:type="pct"/>
            <w:tcBorders>
              <w:top w:val="single" w:sz="4" w:space="0" w:color="auto"/>
              <w:left w:val="single" w:sz="4" w:space="0" w:color="auto"/>
              <w:bottom w:val="single" w:sz="4" w:space="0" w:color="auto"/>
              <w:right w:val="single" w:sz="4" w:space="0" w:color="auto"/>
            </w:tcBorders>
            <w:noWrap/>
            <w:vAlign w:val="center"/>
            <w:hideMark/>
          </w:tcPr>
          <w:p w:rsidR="0018174F" w:rsidRPr="00A93525" w:rsidRDefault="0018174F" w:rsidP="003669EB">
            <w:pPr>
              <w:spacing w:after="0"/>
              <w:jc w:val="center"/>
              <w:rPr>
                <w:rFonts w:cs="Times New Roman"/>
                <w:color w:val="000000"/>
                <w:szCs w:val="24"/>
              </w:rPr>
            </w:pPr>
            <w:r w:rsidRPr="00A93525">
              <w:rPr>
                <w:rFonts w:cs="Times New Roman"/>
                <w:color w:val="000000"/>
                <w:szCs w:val="24"/>
              </w:rPr>
              <w:t>0%</w:t>
            </w:r>
          </w:p>
        </w:tc>
      </w:tr>
    </w:tbl>
    <w:p w:rsidR="002B7331" w:rsidRPr="00A93525" w:rsidRDefault="002B7331" w:rsidP="00212C2C">
      <w:pPr>
        <w:jc w:val="both"/>
        <w:rPr>
          <w:szCs w:val="24"/>
        </w:rPr>
      </w:pPr>
      <w:r w:rsidRPr="00A93525">
        <w:rPr>
          <w:szCs w:val="24"/>
        </w:rPr>
        <w:t>Đối với trường hợp Người được bảo hiểm chuyển tài khoản hưu trí từ doanh nghiệp bảo hiểm khác, Năm hợp đồng đối với mỗi Người được bảo hiểm sẽ được tính kể từ Ngày hiệu lực hợp đồng.</w:t>
      </w:r>
    </w:p>
    <w:p w:rsidR="005F27E9" w:rsidRPr="00A93525" w:rsidRDefault="005F27E9" w:rsidP="00A93525">
      <w:pPr>
        <w:pStyle w:val="Heading2"/>
        <w:keepNext w:val="0"/>
        <w:keepLines w:val="0"/>
        <w:jc w:val="both"/>
        <w:rPr>
          <w:szCs w:val="24"/>
        </w:rPr>
      </w:pPr>
      <w:r w:rsidRPr="00A93525">
        <w:rPr>
          <w:szCs w:val="24"/>
        </w:rPr>
        <w:t>Phí bảo hiểm rủi ro</w:t>
      </w:r>
    </w:p>
    <w:p w:rsidR="00E56772" w:rsidRPr="00A93525" w:rsidRDefault="00E56772" w:rsidP="00212C2C">
      <w:pPr>
        <w:jc w:val="both"/>
        <w:rPr>
          <w:szCs w:val="24"/>
        </w:rPr>
      </w:pPr>
      <w:r w:rsidRPr="00A93525">
        <w:rPr>
          <w:szCs w:val="24"/>
        </w:rPr>
        <w:lastRenderedPageBreak/>
        <w:t>Là khoản phí để đảm bảo ch</w:t>
      </w:r>
      <w:r w:rsidR="00CA329A" w:rsidRPr="00A93525">
        <w:rPr>
          <w:szCs w:val="24"/>
        </w:rPr>
        <w:t>i</w:t>
      </w:r>
      <w:r w:rsidRPr="00A93525">
        <w:rPr>
          <w:szCs w:val="24"/>
        </w:rPr>
        <w:t xml:space="preserve"> trả các quyền lợi bảo hiểm rủi ro </w:t>
      </w:r>
      <w:r w:rsidR="00625B04" w:rsidRPr="00A93525">
        <w:rPr>
          <w:szCs w:val="24"/>
        </w:rPr>
        <w:t>của H</w:t>
      </w:r>
      <w:r w:rsidRPr="00A93525">
        <w:rPr>
          <w:szCs w:val="24"/>
        </w:rPr>
        <w:t>ợp đồng</w:t>
      </w:r>
      <w:r w:rsidR="00625B04" w:rsidRPr="00A93525">
        <w:rPr>
          <w:szCs w:val="24"/>
        </w:rPr>
        <w:t xml:space="preserve"> bảo hiểm hưu trí</w:t>
      </w:r>
      <w:r w:rsidRPr="00A93525">
        <w:rPr>
          <w:szCs w:val="24"/>
        </w:rPr>
        <w:t xml:space="preserve">. </w:t>
      </w:r>
      <w:r w:rsidR="00B6697A" w:rsidRPr="00A93525">
        <w:rPr>
          <w:szCs w:val="24"/>
        </w:rPr>
        <w:t xml:space="preserve">Phí bảo hiểm rủi ro sẽ được khấu trừ từ Giá trị tài khoản hưu trí vào Ngày kỷ niệm hàng tháng trong suốt Thời hạn tích lũy. </w:t>
      </w:r>
    </w:p>
    <w:p w:rsidR="005F27E9" w:rsidRPr="00A93525" w:rsidRDefault="005F27E9" w:rsidP="00A93525">
      <w:pPr>
        <w:pStyle w:val="Heading2"/>
        <w:keepNext w:val="0"/>
        <w:keepLines w:val="0"/>
        <w:spacing w:before="0"/>
        <w:jc w:val="both"/>
        <w:rPr>
          <w:szCs w:val="24"/>
        </w:rPr>
      </w:pPr>
      <w:bookmarkStart w:id="27" w:name="_Toc494386030"/>
      <w:bookmarkEnd w:id="27"/>
      <w:r w:rsidRPr="00A93525">
        <w:rPr>
          <w:szCs w:val="24"/>
        </w:rPr>
        <w:t>Phí quản lý hợp đồng</w:t>
      </w:r>
    </w:p>
    <w:p w:rsidR="00F35811" w:rsidRPr="00A93525" w:rsidRDefault="00E06DBC" w:rsidP="00212C2C">
      <w:pPr>
        <w:jc w:val="both"/>
        <w:rPr>
          <w:szCs w:val="24"/>
        </w:rPr>
      </w:pPr>
      <w:r w:rsidRPr="00A93525">
        <w:rPr>
          <w:szCs w:val="24"/>
        </w:rPr>
        <w:t xml:space="preserve">Là khoản phí để bù đắp chi phí liên quan đến việc duy trì </w:t>
      </w:r>
      <w:r w:rsidR="00701135" w:rsidRPr="00A93525">
        <w:rPr>
          <w:szCs w:val="24"/>
        </w:rPr>
        <w:t xml:space="preserve">Hợp đồng bảo hiểm hưu trí </w:t>
      </w:r>
      <w:r w:rsidRPr="00A93525">
        <w:rPr>
          <w:szCs w:val="24"/>
        </w:rPr>
        <w:t xml:space="preserve">và cung cấp thông tin liên quan đến </w:t>
      </w:r>
      <w:r w:rsidR="00701135" w:rsidRPr="00A93525">
        <w:rPr>
          <w:szCs w:val="24"/>
        </w:rPr>
        <w:t xml:space="preserve">Hợp đồng bảo hiểm hưu trí </w:t>
      </w:r>
      <w:r w:rsidRPr="00A93525">
        <w:rPr>
          <w:szCs w:val="24"/>
        </w:rPr>
        <w:t xml:space="preserve">cho </w:t>
      </w:r>
      <w:r w:rsidR="002B7331" w:rsidRPr="00A93525">
        <w:rPr>
          <w:szCs w:val="24"/>
        </w:rPr>
        <w:t>B</w:t>
      </w:r>
      <w:r w:rsidRPr="00A93525">
        <w:rPr>
          <w:szCs w:val="24"/>
        </w:rPr>
        <w:t>ên mua bảo hiểm</w:t>
      </w:r>
      <w:r w:rsidR="00F259B7" w:rsidRPr="00A93525">
        <w:rPr>
          <w:szCs w:val="24"/>
        </w:rPr>
        <w:t>/Người được bảo hiểm</w:t>
      </w:r>
      <w:r w:rsidRPr="00A93525">
        <w:rPr>
          <w:szCs w:val="24"/>
        </w:rPr>
        <w:t>.</w:t>
      </w:r>
    </w:p>
    <w:p w:rsidR="00E06DBC" w:rsidRPr="00A93525" w:rsidRDefault="00E06DBC" w:rsidP="00212C2C">
      <w:pPr>
        <w:jc w:val="both"/>
        <w:rPr>
          <w:szCs w:val="24"/>
        </w:rPr>
      </w:pPr>
      <w:r w:rsidRPr="00A93525">
        <w:rPr>
          <w:szCs w:val="24"/>
        </w:rPr>
        <w:t xml:space="preserve">Phí quản lý hợp đồng sẽ được khấu trừ từ Giá trị tài khoản hưu trí vào Ngày kỷ niệm hàng tháng </w:t>
      </w:r>
      <w:r w:rsidR="00A92FB1" w:rsidRPr="00A93525">
        <w:rPr>
          <w:szCs w:val="24"/>
        </w:rPr>
        <w:t xml:space="preserve">trong suốt Thời hạn </w:t>
      </w:r>
      <w:r w:rsidR="00820C60" w:rsidRPr="00A93525">
        <w:rPr>
          <w:szCs w:val="24"/>
        </w:rPr>
        <w:t>bảo hiểm</w:t>
      </w:r>
      <w:r w:rsidRPr="00A93525">
        <w:rPr>
          <w:szCs w:val="24"/>
        </w:rPr>
        <w:t xml:space="preserve">. </w:t>
      </w:r>
    </w:p>
    <w:p w:rsidR="00E06DBC" w:rsidRPr="00A93525" w:rsidRDefault="00E06DBC" w:rsidP="00212C2C">
      <w:pPr>
        <w:jc w:val="both"/>
        <w:rPr>
          <w:szCs w:val="24"/>
        </w:rPr>
      </w:pPr>
      <w:r w:rsidRPr="00A93525">
        <w:rPr>
          <w:szCs w:val="24"/>
        </w:rPr>
        <w:t>Phí quản lý hợp đồ</w:t>
      </w:r>
      <w:r w:rsidR="00DD2ACD" w:rsidRPr="00A93525">
        <w:rPr>
          <w:szCs w:val="24"/>
        </w:rPr>
        <w:t xml:space="preserve">ng </w:t>
      </w:r>
      <w:r w:rsidR="002B7331" w:rsidRPr="00A93525">
        <w:rPr>
          <w:szCs w:val="24"/>
        </w:rPr>
        <w:t>được quy định như sau</w:t>
      </w:r>
      <w:r w:rsidR="00DD2ACD" w:rsidRPr="00A93525">
        <w:rPr>
          <w:szCs w:val="24"/>
        </w:rPr>
        <w:t>:</w:t>
      </w:r>
    </w:p>
    <w:tbl>
      <w:tblPr>
        <w:tblStyle w:val="TableGrid"/>
        <w:tblW w:w="3559" w:type="pct"/>
        <w:jc w:val="center"/>
        <w:tblLook w:val="04A0"/>
      </w:tblPr>
      <w:tblGrid>
        <w:gridCol w:w="2852"/>
        <w:gridCol w:w="3964"/>
      </w:tblGrid>
      <w:tr w:rsidR="00DD2ACD" w:rsidRPr="00A93525" w:rsidTr="00206FD1">
        <w:trPr>
          <w:jc w:val="center"/>
        </w:trPr>
        <w:tc>
          <w:tcPr>
            <w:tcW w:w="2092" w:type="pct"/>
            <w:shd w:val="clear" w:color="auto" w:fill="auto"/>
          </w:tcPr>
          <w:p w:rsidR="00DD2ACD" w:rsidRPr="00A93525" w:rsidRDefault="00DD2ACD" w:rsidP="00212C2C">
            <w:pPr>
              <w:rPr>
                <w:szCs w:val="24"/>
              </w:rPr>
            </w:pPr>
          </w:p>
        </w:tc>
        <w:tc>
          <w:tcPr>
            <w:tcW w:w="2908" w:type="pct"/>
            <w:shd w:val="clear" w:color="auto" w:fill="auto"/>
          </w:tcPr>
          <w:p w:rsidR="00DD2ACD" w:rsidRPr="00A93525" w:rsidRDefault="00DD2ACD" w:rsidP="00212C2C">
            <w:pPr>
              <w:rPr>
                <w:szCs w:val="24"/>
              </w:rPr>
            </w:pPr>
            <w:r w:rsidRPr="00A93525" w:rsidDel="00DA4902">
              <w:rPr>
                <w:szCs w:val="24"/>
              </w:rPr>
              <w:t xml:space="preserve"> </w:t>
            </w:r>
            <w:r w:rsidRPr="00A93525">
              <w:rPr>
                <w:szCs w:val="24"/>
              </w:rPr>
              <w:t>Phí quản lý hợp đồng (đồng/tháng)</w:t>
            </w:r>
          </w:p>
        </w:tc>
      </w:tr>
      <w:tr w:rsidR="00DD2ACD" w:rsidRPr="00A93525" w:rsidTr="00206FD1">
        <w:trPr>
          <w:jc w:val="center"/>
        </w:trPr>
        <w:tc>
          <w:tcPr>
            <w:tcW w:w="2092" w:type="pct"/>
          </w:tcPr>
          <w:p w:rsidR="00DD2ACD" w:rsidRPr="00A93525" w:rsidRDefault="00F259B7" w:rsidP="00212C2C">
            <w:pPr>
              <w:rPr>
                <w:szCs w:val="24"/>
              </w:rPr>
            </w:pPr>
            <w:r w:rsidRPr="00A93525">
              <w:rPr>
                <w:szCs w:val="24"/>
              </w:rPr>
              <w:t xml:space="preserve">Trong </w:t>
            </w:r>
            <w:r w:rsidR="00FA36D5" w:rsidRPr="00A93525">
              <w:rPr>
                <w:szCs w:val="24"/>
              </w:rPr>
              <w:t>Thời hạn tích lũy</w:t>
            </w:r>
          </w:p>
        </w:tc>
        <w:tc>
          <w:tcPr>
            <w:tcW w:w="2908" w:type="pct"/>
          </w:tcPr>
          <w:p w:rsidR="00DD2ACD" w:rsidRPr="00A93525" w:rsidRDefault="0050007A" w:rsidP="00206FD1">
            <w:pPr>
              <w:jc w:val="right"/>
              <w:rPr>
                <w:szCs w:val="24"/>
              </w:rPr>
            </w:pPr>
            <w:r w:rsidRPr="00A93525">
              <w:rPr>
                <w:szCs w:val="24"/>
              </w:rPr>
              <w:t>45</w:t>
            </w:r>
            <w:r w:rsidR="002B7331" w:rsidRPr="00A93525">
              <w:rPr>
                <w:szCs w:val="24"/>
              </w:rPr>
              <w:t>.</w:t>
            </w:r>
            <w:r w:rsidR="00DD2ACD" w:rsidRPr="00A93525">
              <w:rPr>
                <w:szCs w:val="24"/>
              </w:rPr>
              <w:t xml:space="preserve">000 </w:t>
            </w:r>
          </w:p>
        </w:tc>
      </w:tr>
      <w:tr w:rsidR="00DD2ACD" w:rsidRPr="00A93525" w:rsidTr="00206FD1">
        <w:trPr>
          <w:jc w:val="center"/>
        </w:trPr>
        <w:tc>
          <w:tcPr>
            <w:tcW w:w="2092" w:type="pct"/>
          </w:tcPr>
          <w:p w:rsidR="00DD2ACD" w:rsidRPr="00A93525" w:rsidRDefault="00F259B7" w:rsidP="00212C2C">
            <w:pPr>
              <w:rPr>
                <w:szCs w:val="24"/>
              </w:rPr>
            </w:pPr>
            <w:r w:rsidRPr="00A93525">
              <w:rPr>
                <w:szCs w:val="24"/>
              </w:rPr>
              <w:t xml:space="preserve">Trong </w:t>
            </w:r>
            <w:r w:rsidR="00DD2ACD" w:rsidRPr="00A93525">
              <w:rPr>
                <w:szCs w:val="24"/>
              </w:rPr>
              <w:t>Thời hạn chi trả</w:t>
            </w:r>
          </w:p>
        </w:tc>
        <w:tc>
          <w:tcPr>
            <w:tcW w:w="2908" w:type="pct"/>
          </w:tcPr>
          <w:p w:rsidR="00DD2ACD" w:rsidRPr="00A93525" w:rsidRDefault="00DD2ACD" w:rsidP="00206FD1">
            <w:pPr>
              <w:jc w:val="right"/>
              <w:rPr>
                <w:szCs w:val="24"/>
              </w:rPr>
            </w:pPr>
            <w:r w:rsidRPr="00A93525">
              <w:rPr>
                <w:szCs w:val="24"/>
              </w:rPr>
              <w:t>30</w:t>
            </w:r>
            <w:r w:rsidR="002B7331" w:rsidRPr="00A93525">
              <w:rPr>
                <w:szCs w:val="24"/>
              </w:rPr>
              <w:t>.</w:t>
            </w:r>
            <w:r w:rsidRPr="00A93525">
              <w:rPr>
                <w:szCs w:val="24"/>
              </w:rPr>
              <w:t xml:space="preserve">000 </w:t>
            </w:r>
          </w:p>
        </w:tc>
      </w:tr>
    </w:tbl>
    <w:p w:rsidR="005F27E9" w:rsidRPr="00A93525" w:rsidRDefault="005F27E9" w:rsidP="00A93525">
      <w:pPr>
        <w:pStyle w:val="Heading2"/>
        <w:keepNext w:val="0"/>
        <w:keepLines w:val="0"/>
        <w:spacing w:before="0"/>
        <w:jc w:val="both"/>
        <w:rPr>
          <w:szCs w:val="24"/>
        </w:rPr>
      </w:pPr>
      <w:bookmarkStart w:id="28" w:name="_Ref493523483"/>
      <w:r w:rsidRPr="00A93525">
        <w:rPr>
          <w:szCs w:val="24"/>
        </w:rPr>
        <w:t>Phí quản lý quỹ</w:t>
      </w:r>
      <w:bookmarkEnd w:id="28"/>
    </w:p>
    <w:p w:rsidR="00F35811" w:rsidRPr="00A93525" w:rsidRDefault="002B7331" w:rsidP="00212C2C">
      <w:pPr>
        <w:jc w:val="both"/>
        <w:rPr>
          <w:szCs w:val="24"/>
        </w:rPr>
      </w:pPr>
      <w:r w:rsidRPr="00A93525">
        <w:rPr>
          <w:szCs w:val="24"/>
        </w:rPr>
        <w:t>Đ</w:t>
      </w:r>
      <w:r w:rsidR="00F35811" w:rsidRPr="00A93525">
        <w:rPr>
          <w:szCs w:val="24"/>
        </w:rPr>
        <w:t xml:space="preserve">ược dùng để chi trả cho các hoạt động </w:t>
      </w:r>
      <w:r w:rsidR="00444F09" w:rsidRPr="00A93525">
        <w:rPr>
          <w:szCs w:val="24"/>
        </w:rPr>
        <w:t xml:space="preserve">đầu tư và </w:t>
      </w:r>
      <w:r w:rsidR="00F35811" w:rsidRPr="00A93525">
        <w:rPr>
          <w:szCs w:val="24"/>
        </w:rPr>
        <w:t>quản lý Quỹ hưu trí.</w:t>
      </w:r>
      <w:r w:rsidR="00444F09" w:rsidRPr="00A93525">
        <w:rPr>
          <w:szCs w:val="24"/>
        </w:rPr>
        <w:t xml:space="preserve"> Phí quản lý quỹ được tính trên Giá trị tài khoản hưu trí, </w:t>
      </w:r>
      <w:r w:rsidR="00790091" w:rsidRPr="00A93525">
        <w:rPr>
          <w:szCs w:val="24"/>
        </w:rPr>
        <w:t>tối đa</w:t>
      </w:r>
      <w:r w:rsidR="00444F09" w:rsidRPr="00A93525">
        <w:rPr>
          <w:szCs w:val="24"/>
        </w:rPr>
        <w:t xml:space="preserve"> 2%</w:t>
      </w:r>
      <w:r w:rsidR="00072BB8">
        <w:rPr>
          <w:szCs w:val="24"/>
        </w:rPr>
        <w:t>/</w:t>
      </w:r>
      <w:r w:rsidR="00444F09" w:rsidRPr="00A93525">
        <w:rPr>
          <w:szCs w:val="24"/>
        </w:rPr>
        <w:t xml:space="preserve">năm. </w:t>
      </w:r>
      <w:r w:rsidR="00444F09" w:rsidRPr="00A93525">
        <w:rPr>
          <w:color w:val="000000" w:themeColor="text1"/>
          <w:szCs w:val="24"/>
          <w:lang w:val="en-AU"/>
        </w:rPr>
        <w:t xml:space="preserve">Phí quản lý quỹ được khấu trừ trước khi </w:t>
      </w:r>
      <w:r w:rsidRPr="00A93525">
        <w:rPr>
          <w:color w:val="000000" w:themeColor="text1"/>
          <w:szCs w:val="24"/>
          <w:lang w:val="en-AU"/>
        </w:rPr>
        <w:t xml:space="preserve">Công ty </w:t>
      </w:r>
      <w:r w:rsidR="00444F09" w:rsidRPr="00A93525">
        <w:rPr>
          <w:color w:val="000000" w:themeColor="text1"/>
          <w:szCs w:val="24"/>
          <w:lang w:val="en-AU"/>
        </w:rPr>
        <w:t xml:space="preserve">công bố </w:t>
      </w:r>
      <w:r w:rsidR="003E512F" w:rsidRPr="00A93525">
        <w:rPr>
          <w:color w:val="000000" w:themeColor="text1"/>
          <w:szCs w:val="24"/>
          <w:lang w:val="en-AU"/>
        </w:rPr>
        <w:t>Lãi suất ghi nhận</w:t>
      </w:r>
      <w:r w:rsidR="00444F09" w:rsidRPr="00A93525">
        <w:rPr>
          <w:color w:val="000000" w:themeColor="text1"/>
          <w:szCs w:val="24"/>
          <w:lang w:val="en-AU"/>
        </w:rPr>
        <w:t>.</w:t>
      </w:r>
    </w:p>
    <w:p w:rsidR="005F27E9" w:rsidRPr="00A93525" w:rsidRDefault="005F27E9" w:rsidP="00A93525">
      <w:pPr>
        <w:pStyle w:val="Heading2"/>
        <w:keepNext w:val="0"/>
        <w:keepLines w:val="0"/>
        <w:spacing w:before="0"/>
        <w:jc w:val="both"/>
        <w:rPr>
          <w:szCs w:val="24"/>
        </w:rPr>
      </w:pPr>
      <w:bookmarkStart w:id="29" w:name="_Ref493578865"/>
      <w:r w:rsidRPr="00A93525">
        <w:rPr>
          <w:szCs w:val="24"/>
        </w:rPr>
        <w:t xml:space="preserve">Phí </w:t>
      </w:r>
      <w:r w:rsidR="00FB4555" w:rsidRPr="00A93525">
        <w:rPr>
          <w:szCs w:val="24"/>
        </w:rPr>
        <w:t>chuyển tài khoản</w:t>
      </w:r>
      <w:bookmarkEnd w:id="29"/>
    </w:p>
    <w:p w:rsidR="00FB4555" w:rsidRPr="00A93525" w:rsidRDefault="00820C60" w:rsidP="00212C2C">
      <w:pPr>
        <w:jc w:val="both"/>
        <w:rPr>
          <w:szCs w:val="24"/>
          <w:lang w:val="en-AU"/>
        </w:rPr>
      </w:pPr>
      <w:r w:rsidRPr="00A93525">
        <w:rPr>
          <w:szCs w:val="24"/>
          <w:lang w:val="en-AU"/>
        </w:rPr>
        <w:t>Đ</w:t>
      </w:r>
      <w:r w:rsidR="00FB4555" w:rsidRPr="00A93525">
        <w:rPr>
          <w:szCs w:val="24"/>
          <w:lang w:val="en-AU"/>
        </w:rPr>
        <w:t xml:space="preserve">ược xác định bằng phần trăm của Giá trị tài khoản hưu trí được chuyển, bao gồm giá trị tài khoản được hưởng từ Giá trị tài khoản hưu trí </w:t>
      </w:r>
      <w:r w:rsidR="001402A2" w:rsidRPr="00A93525">
        <w:rPr>
          <w:szCs w:val="24"/>
          <w:lang w:val="en-AU"/>
        </w:rPr>
        <w:t xml:space="preserve">tương ứng với khoản đóng góp </w:t>
      </w:r>
      <w:r w:rsidR="00FB4555" w:rsidRPr="00A93525">
        <w:rPr>
          <w:szCs w:val="24"/>
          <w:lang w:val="en-AU"/>
        </w:rPr>
        <w:t>của Bên mua bảo hiểm theo Tỷ lệ hưởng giá trị tài khoản hưu trí. Chi phí này thay đổi theo Năm hợp đồng như sau: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9"/>
        <w:gridCol w:w="1018"/>
        <w:gridCol w:w="1161"/>
        <w:gridCol w:w="1161"/>
        <w:gridCol w:w="1161"/>
        <w:gridCol w:w="1159"/>
        <w:gridCol w:w="1157"/>
      </w:tblGrid>
      <w:tr w:rsidR="003F24FB" w:rsidRPr="00A93525" w:rsidTr="00206FD1">
        <w:tc>
          <w:tcPr>
            <w:tcW w:w="1441" w:type="pct"/>
          </w:tcPr>
          <w:p w:rsidR="003F24FB" w:rsidRPr="00A93525" w:rsidRDefault="003F24FB" w:rsidP="00206FD1">
            <w:pPr>
              <w:spacing w:after="0"/>
              <w:jc w:val="center"/>
              <w:rPr>
                <w:szCs w:val="24"/>
                <w:lang w:val="en-AU"/>
              </w:rPr>
            </w:pPr>
            <w:r w:rsidRPr="00A93525">
              <w:rPr>
                <w:szCs w:val="24"/>
                <w:lang w:val="en-AU"/>
              </w:rPr>
              <w:t>Năm hợp đồng</w:t>
            </w:r>
          </w:p>
        </w:tc>
        <w:tc>
          <w:tcPr>
            <w:tcW w:w="532" w:type="pct"/>
            <w:vAlign w:val="center"/>
          </w:tcPr>
          <w:p w:rsidR="003F24FB" w:rsidRPr="00A93525" w:rsidRDefault="003F24FB" w:rsidP="00206FD1">
            <w:pPr>
              <w:spacing w:after="0"/>
              <w:jc w:val="center"/>
              <w:rPr>
                <w:szCs w:val="24"/>
                <w:lang w:val="en-AU"/>
              </w:rPr>
            </w:pPr>
            <w:r w:rsidRPr="00A93525">
              <w:rPr>
                <w:szCs w:val="24"/>
                <w:lang w:val="en-AU"/>
              </w:rPr>
              <w:t>1</w:t>
            </w:r>
          </w:p>
        </w:tc>
        <w:tc>
          <w:tcPr>
            <w:tcW w:w="606" w:type="pct"/>
            <w:vAlign w:val="center"/>
          </w:tcPr>
          <w:p w:rsidR="003F24FB" w:rsidRPr="00A93525" w:rsidRDefault="003F24FB" w:rsidP="00206FD1">
            <w:pPr>
              <w:spacing w:after="0"/>
              <w:jc w:val="center"/>
              <w:rPr>
                <w:szCs w:val="24"/>
                <w:lang w:val="en-AU"/>
              </w:rPr>
            </w:pPr>
            <w:r w:rsidRPr="00A93525">
              <w:rPr>
                <w:szCs w:val="24"/>
                <w:lang w:val="en-AU"/>
              </w:rPr>
              <w:t>2</w:t>
            </w:r>
          </w:p>
        </w:tc>
        <w:tc>
          <w:tcPr>
            <w:tcW w:w="606" w:type="pct"/>
            <w:vAlign w:val="center"/>
          </w:tcPr>
          <w:p w:rsidR="003F24FB" w:rsidRPr="00A93525" w:rsidRDefault="003F24FB" w:rsidP="00206FD1">
            <w:pPr>
              <w:spacing w:after="0"/>
              <w:jc w:val="center"/>
              <w:rPr>
                <w:szCs w:val="24"/>
                <w:lang w:val="en-AU"/>
              </w:rPr>
            </w:pPr>
            <w:r w:rsidRPr="00A93525">
              <w:rPr>
                <w:szCs w:val="24"/>
                <w:lang w:val="en-AU"/>
              </w:rPr>
              <w:t>3</w:t>
            </w:r>
          </w:p>
        </w:tc>
        <w:tc>
          <w:tcPr>
            <w:tcW w:w="606" w:type="pct"/>
            <w:vAlign w:val="center"/>
          </w:tcPr>
          <w:p w:rsidR="003F24FB" w:rsidRPr="00A93525" w:rsidRDefault="003F24FB" w:rsidP="00206FD1">
            <w:pPr>
              <w:spacing w:after="0"/>
              <w:jc w:val="center"/>
              <w:rPr>
                <w:szCs w:val="24"/>
                <w:lang w:val="en-AU"/>
              </w:rPr>
            </w:pPr>
            <w:r w:rsidRPr="00A93525">
              <w:rPr>
                <w:szCs w:val="24"/>
                <w:lang w:val="en-AU"/>
              </w:rPr>
              <w:t>4</w:t>
            </w:r>
          </w:p>
        </w:tc>
        <w:tc>
          <w:tcPr>
            <w:tcW w:w="605" w:type="pct"/>
            <w:vAlign w:val="center"/>
          </w:tcPr>
          <w:p w:rsidR="003F24FB" w:rsidRPr="00A93525" w:rsidRDefault="003F24FB" w:rsidP="00206FD1">
            <w:pPr>
              <w:spacing w:after="0"/>
              <w:jc w:val="center"/>
              <w:rPr>
                <w:szCs w:val="24"/>
                <w:lang w:val="en-AU"/>
              </w:rPr>
            </w:pPr>
            <w:r w:rsidRPr="00A93525">
              <w:rPr>
                <w:szCs w:val="24"/>
                <w:lang w:val="en-AU"/>
              </w:rPr>
              <w:t>5</w:t>
            </w:r>
          </w:p>
        </w:tc>
        <w:tc>
          <w:tcPr>
            <w:tcW w:w="605" w:type="pct"/>
          </w:tcPr>
          <w:p w:rsidR="003F24FB" w:rsidRPr="00A93525" w:rsidRDefault="003F24FB" w:rsidP="00206FD1">
            <w:pPr>
              <w:spacing w:after="0"/>
              <w:jc w:val="center"/>
              <w:rPr>
                <w:szCs w:val="24"/>
                <w:lang w:val="en-AU"/>
              </w:rPr>
            </w:pPr>
            <w:r>
              <w:rPr>
                <w:szCs w:val="24"/>
                <w:lang w:val="en-AU"/>
              </w:rPr>
              <w:t>6+</w:t>
            </w:r>
          </w:p>
        </w:tc>
      </w:tr>
      <w:tr w:rsidR="003F24FB" w:rsidRPr="00A93525" w:rsidTr="003669EB">
        <w:tc>
          <w:tcPr>
            <w:tcW w:w="1441" w:type="pct"/>
          </w:tcPr>
          <w:p w:rsidR="003F24FB" w:rsidRPr="00A93525" w:rsidRDefault="003F24FB" w:rsidP="00212C2C">
            <w:pPr>
              <w:spacing w:after="0"/>
              <w:jc w:val="both"/>
              <w:rPr>
                <w:szCs w:val="24"/>
                <w:lang w:val="en-AU"/>
              </w:rPr>
            </w:pPr>
            <w:r w:rsidRPr="00A93525">
              <w:rPr>
                <w:szCs w:val="24"/>
                <w:lang w:val="en-AU"/>
              </w:rPr>
              <w:t>Phí chuyển tài khoản</w:t>
            </w:r>
          </w:p>
        </w:tc>
        <w:tc>
          <w:tcPr>
            <w:tcW w:w="532" w:type="pct"/>
            <w:vAlign w:val="center"/>
          </w:tcPr>
          <w:p w:rsidR="003F24FB" w:rsidRPr="00A93525" w:rsidRDefault="003F24FB" w:rsidP="003669EB">
            <w:pPr>
              <w:spacing w:after="0"/>
              <w:jc w:val="center"/>
              <w:rPr>
                <w:szCs w:val="24"/>
                <w:lang w:val="en-AU"/>
              </w:rPr>
            </w:pPr>
            <w:r w:rsidRPr="00A93525">
              <w:rPr>
                <w:szCs w:val="24"/>
                <w:lang w:val="en-AU"/>
              </w:rPr>
              <w:t>5%</w:t>
            </w:r>
          </w:p>
        </w:tc>
        <w:tc>
          <w:tcPr>
            <w:tcW w:w="606" w:type="pct"/>
            <w:vAlign w:val="center"/>
          </w:tcPr>
          <w:p w:rsidR="003F24FB" w:rsidRPr="00A93525" w:rsidRDefault="003F24FB" w:rsidP="003669EB">
            <w:pPr>
              <w:spacing w:after="0"/>
              <w:jc w:val="center"/>
              <w:rPr>
                <w:szCs w:val="24"/>
                <w:lang w:val="en-AU"/>
              </w:rPr>
            </w:pPr>
            <w:r w:rsidRPr="00A93525">
              <w:rPr>
                <w:szCs w:val="24"/>
                <w:lang w:val="en-AU"/>
              </w:rPr>
              <w:t>4%</w:t>
            </w:r>
          </w:p>
        </w:tc>
        <w:tc>
          <w:tcPr>
            <w:tcW w:w="606" w:type="pct"/>
            <w:vAlign w:val="center"/>
          </w:tcPr>
          <w:p w:rsidR="003F24FB" w:rsidRPr="00A93525" w:rsidRDefault="003F24FB" w:rsidP="003669EB">
            <w:pPr>
              <w:spacing w:after="0"/>
              <w:jc w:val="center"/>
              <w:rPr>
                <w:szCs w:val="24"/>
                <w:lang w:val="en-AU"/>
              </w:rPr>
            </w:pPr>
            <w:r w:rsidRPr="00A93525">
              <w:rPr>
                <w:szCs w:val="24"/>
                <w:lang w:val="en-AU"/>
              </w:rPr>
              <w:t>3%</w:t>
            </w:r>
          </w:p>
        </w:tc>
        <w:tc>
          <w:tcPr>
            <w:tcW w:w="606" w:type="pct"/>
            <w:vAlign w:val="center"/>
          </w:tcPr>
          <w:p w:rsidR="003F24FB" w:rsidRPr="00A93525" w:rsidRDefault="003F24FB" w:rsidP="003669EB">
            <w:pPr>
              <w:spacing w:after="0"/>
              <w:jc w:val="center"/>
              <w:rPr>
                <w:szCs w:val="24"/>
                <w:lang w:val="en-AU"/>
              </w:rPr>
            </w:pPr>
            <w:r w:rsidRPr="00A93525">
              <w:rPr>
                <w:szCs w:val="24"/>
                <w:lang w:val="en-AU"/>
              </w:rPr>
              <w:t>2%</w:t>
            </w:r>
          </w:p>
        </w:tc>
        <w:tc>
          <w:tcPr>
            <w:tcW w:w="605" w:type="pct"/>
            <w:vAlign w:val="center"/>
          </w:tcPr>
          <w:p w:rsidR="003F24FB" w:rsidRPr="00A93525" w:rsidRDefault="003F24FB" w:rsidP="003669EB">
            <w:pPr>
              <w:spacing w:after="0"/>
              <w:jc w:val="center"/>
              <w:rPr>
                <w:szCs w:val="24"/>
                <w:lang w:val="en-AU"/>
              </w:rPr>
            </w:pPr>
            <w:r w:rsidRPr="00A93525">
              <w:rPr>
                <w:szCs w:val="24"/>
                <w:lang w:val="en-AU"/>
              </w:rPr>
              <w:t>1%</w:t>
            </w:r>
          </w:p>
        </w:tc>
        <w:tc>
          <w:tcPr>
            <w:tcW w:w="605" w:type="pct"/>
            <w:vAlign w:val="center"/>
          </w:tcPr>
          <w:p w:rsidR="003F24FB" w:rsidRPr="00A93525" w:rsidRDefault="003F24FB" w:rsidP="003669EB">
            <w:pPr>
              <w:spacing w:after="0"/>
              <w:jc w:val="center"/>
              <w:rPr>
                <w:szCs w:val="24"/>
                <w:lang w:val="en-AU"/>
              </w:rPr>
            </w:pPr>
            <w:r>
              <w:rPr>
                <w:szCs w:val="24"/>
                <w:lang w:val="en-AU"/>
              </w:rPr>
              <w:t>0%</w:t>
            </w:r>
          </w:p>
        </w:tc>
      </w:tr>
    </w:tbl>
    <w:p w:rsidR="007908FB" w:rsidRPr="00A93525" w:rsidRDefault="00E92DBE" w:rsidP="00A93525">
      <w:pPr>
        <w:pStyle w:val="Heading1"/>
        <w:keepNext w:val="0"/>
        <w:keepLines w:val="0"/>
        <w:jc w:val="both"/>
        <w:rPr>
          <w:szCs w:val="24"/>
        </w:rPr>
      </w:pPr>
      <w:bookmarkStart w:id="30" w:name="_Toc496706459"/>
      <w:bookmarkStart w:id="31" w:name="_Toc496717743"/>
      <w:bookmarkStart w:id="32" w:name="_Toc498701176"/>
      <w:r w:rsidRPr="00A93525">
        <w:rPr>
          <w:caps w:val="0"/>
          <w:szCs w:val="24"/>
        </w:rPr>
        <w:t>QUYỀN LỢI BẢO HIỂM</w:t>
      </w:r>
      <w:bookmarkEnd w:id="30"/>
      <w:bookmarkEnd w:id="31"/>
      <w:bookmarkEnd w:id="32"/>
    </w:p>
    <w:p w:rsidR="00100154" w:rsidRPr="00A93525" w:rsidRDefault="00100154" w:rsidP="00A93525">
      <w:pPr>
        <w:pStyle w:val="Heading2"/>
        <w:keepNext w:val="0"/>
        <w:keepLines w:val="0"/>
        <w:spacing w:before="200" w:after="200"/>
        <w:jc w:val="both"/>
        <w:rPr>
          <w:color w:val="000000"/>
          <w:szCs w:val="24"/>
        </w:rPr>
      </w:pPr>
      <w:r w:rsidRPr="00A93525">
        <w:rPr>
          <w:color w:val="000000"/>
          <w:szCs w:val="24"/>
        </w:rPr>
        <w:t>Quyền lợi hưu trí</w:t>
      </w:r>
    </w:p>
    <w:p w:rsidR="00100154" w:rsidRPr="00A93525" w:rsidRDefault="00100154" w:rsidP="00212C2C">
      <w:pPr>
        <w:jc w:val="both"/>
        <w:rPr>
          <w:szCs w:val="24"/>
        </w:rPr>
      </w:pPr>
      <w:r w:rsidRPr="00A93525">
        <w:rPr>
          <w:szCs w:val="24"/>
        </w:rPr>
        <w:t xml:space="preserve">Nếu </w:t>
      </w:r>
      <w:r w:rsidR="00701135" w:rsidRPr="00A93525">
        <w:rPr>
          <w:szCs w:val="24"/>
        </w:rPr>
        <w:t xml:space="preserve">Hợp đồng bảo hiểm hưu trí </w:t>
      </w:r>
      <w:r w:rsidRPr="00A93525">
        <w:rPr>
          <w:szCs w:val="24"/>
        </w:rPr>
        <w:t>c</w:t>
      </w:r>
      <w:r w:rsidR="00B6697A" w:rsidRPr="00A93525">
        <w:rPr>
          <w:szCs w:val="24"/>
        </w:rPr>
        <w:t>ó</w:t>
      </w:r>
      <w:r w:rsidRPr="00A93525">
        <w:rPr>
          <w:szCs w:val="24"/>
        </w:rPr>
        <w:t xml:space="preserve"> hiệu lực vào cuối </w:t>
      </w:r>
      <w:r w:rsidR="00FA36D5" w:rsidRPr="00A93525">
        <w:rPr>
          <w:szCs w:val="24"/>
        </w:rPr>
        <w:t>Thời hạn tích lũy</w:t>
      </w:r>
      <w:r w:rsidRPr="00A93525">
        <w:rPr>
          <w:szCs w:val="24"/>
        </w:rPr>
        <w:t xml:space="preserve">, </w:t>
      </w:r>
      <w:r w:rsidR="00B90DB7" w:rsidRPr="00A93525">
        <w:rPr>
          <w:szCs w:val="24"/>
        </w:rPr>
        <w:t xml:space="preserve">kể từ Tuổi nghỉ hưu, </w:t>
      </w:r>
      <w:r w:rsidRPr="00A93525">
        <w:rPr>
          <w:szCs w:val="24"/>
        </w:rPr>
        <w:t xml:space="preserve">Công ty sẽ bắt đầu chi trả </w:t>
      </w:r>
      <w:r w:rsidR="00D60C23" w:rsidRPr="00A93525">
        <w:rPr>
          <w:szCs w:val="24"/>
        </w:rPr>
        <w:t>Q</w:t>
      </w:r>
      <w:r w:rsidRPr="00A93525">
        <w:rPr>
          <w:szCs w:val="24"/>
        </w:rPr>
        <w:t>uyền lợi hưu trí cho Người được bảo hiểm</w:t>
      </w:r>
      <w:r w:rsidR="00B90DB7" w:rsidRPr="00A93525">
        <w:rPr>
          <w:szCs w:val="24"/>
        </w:rPr>
        <w:t xml:space="preserve">. </w:t>
      </w:r>
      <w:r w:rsidRPr="00A93525">
        <w:rPr>
          <w:szCs w:val="24"/>
        </w:rPr>
        <w:t>Quyền lợi hưu trí sẽ được chi trả trong 15, 20, hoặc 25 năm</w:t>
      </w:r>
      <w:r w:rsidR="00B90DB7" w:rsidRPr="00A93525">
        <w:rPr>
          <w:szCs w:val="24"/>
        </w:rPr>
        <w:t xml:space="preserve">, </w:t>
      </w:r>
      <w:r w:rsidR="00D60C23" w:rsidRPr="00A93525">
        <w:rPr>
          <w:szCs w:val="24"/>
        </w:rPr>
        <w:t>t</w:t>
      </w:r>
      <w:r w:rsidR="001025CD" w:rsidRPr="00A93525">
        <w:rPr>
          <w:szCs w:val="24"/>
        </w:rPr>
        <w:t>ù</w:t>
      </w:r>
      <w:r w:rsidR="00D60C23" w:rsidRPr="00A93525">
        <w:rPr>
          <w:szCs w:val="24"/>
        </w:rPr>
        <w:t>y theo</w:t>
      </w:r>
      <w:r w:rsidR="00B90DB7" w:rsidRPr="00A93525">
        <w:rPr>
          <w:szCs w:val="24"/>
        </w:rPr>
        <w:t xml:space="preserve"> </w:t>
      </w:r>
      <w:r w:rsidR="001025CD" w:rsidRPr="00A93525">
        <w:rPr>
          <w:szCs w:val="24"/>
        </w:rPr>
        <w:t xml:space="preserve">lựa chọn của </w:t>
      </w:r>
      <w:r w:rsidRPr="00A93525">
        <w:rPr>
          <w:szCs w:val="24"/>
        </w:rPr>
        <w:t>Người được bảo hiểm</w:t>
      </w:r>
      <w:r w:rsidR="001025CD" w:rsidRPr="00A93525">
        <w:rPr>
          <w:szCs w:val="24"/>
        </w:rPr>
        <w:t>.</w:t>
      </w:r>
      <w:r w:rsidRPr="00A93525">
        <w:rPr>
          <w:szCs w:val="24"/>
        </w:rPr>
        <w:t xml:space="preserve"> </w:t>
      </w:r>
    </w:p>
    <w:p w:rsidR="00036284" w:rsidRPr="00A93525" w:rsidRDefault="00036284" w:rsidP="00212C2C">
      <w:pPr>
        <w:spacing w:after="240" w:line="276" w:lineRule="auto"/>
        <w:ind w:right="360"/>
        <w:jc w:val="both"/>
        <w:rPr>
          <w:szCs w:val="24"/>
        </w:rPr>
      </w:pPr>
      <w:r w:rsidRPr="00A93525">
        <w:rPr>
          <w:szCs w:val="24"/>
        </w:rPr>
        <w:t xml:space="preserve">Giá trị </w:t>
      </w:r>
      <w:r w:rsidR="00DB7C22" w:rsidRPr="00A93525">
        <w:rPr>
          <w:szCs w:val="24"/>
        </w:rPr>
        <w:t>Q</w:t>
      </w:r>
      <w:r w:rsidRPr="00A93525">
        <w:rPr>
          <w:szCs w:val="24"/>
        </w:rPr>
        <w:t xml:space="preserve">uyền lợi hưu trí </w:t>
      </w:r>
      <w:r w:rsidR="00E43A9F" w:rsidRPr="00A93525">
        <w:rPr>
          <w:szCs w:val="24"/>
        </w:rPr>
        <w:t xml:space="preserve">mỗi </w:t>
      </w:r>
      <w:r w:rsidRPr="00A93525">
        <w:rPr>
          <w:szCs w:val="24"/>
        </w:rPr>
        <w:t>kỳ được xác định bằng công thức sau:</w:t>
      </w:r>
    </w:p>
    <w:p w:rsidR="00036284" w:rsidRPr="00A93525" w:rsidRDefault="00036284" w:rsidP="00212C2C">
      <w:pPr>
        <w:spacing w:line="276" w:lineRule="auto"/>
        <w:jc w:val="center"/>
        <w:rPr>
          <w:szCs w:val="24"/>
        </w:rPr>
      </w:pPr>
      <w:r w:rsidRPr="00A93525">
        <w:rPr>
          <w:szCs w:val="24"/>
        </w:rPr>
        <w:t xml:space="preserve">Giá trị </w:t>
      </w:r>
      <w:r w:rsidR="003C4D3E" w:rsidRPr="00A93525">
        <w:rPr>
          <w:szCs w:val="24"/>
        </w:rPr>
        <w:t>Q</w:t>
      </w:r>
      <w:r w:rsidRPr="00A93525">
        <w:rPr>
          <w:szCs w:val="24"/>
        </w:rPr>
        <w:t xml:space="preserve">uyền lợi hưu trí </w:t>
      </w:r>
      <w:r w:rsidR="00E43A9F" w:rsidRPr="00A93525">
        <w:rPr>
          <w:szCs w:val="24"/>
        </w:rPr>
        <w:t xml:space="preserve">mỗi </w:t>
      </w:r>
      <w:r w:rsidRPr="00A93525">
        <w:rPr>
          <w:szCs w:val="24"/>
        </w:rPr>
        <w:t xml:space="preserve">kỳ = Giá trị tài khoản hưu trí tại thời điểm ngay trước khi chi trả </w:t>
      </w:r>
      <w:r w:rsidR="00E43A9F" w:rsidRPr="00A93525">
        <w:rPr>
          <w:szCs w:val="24"/>
        </w:rPr>
        <w:t xml:space="preserve">mỗi </w:t>
      </w:r>
      <w:r w:rsidRPr="00A93525">
        <w:rPr>
          <w:szCs w:val="24"/>
        </w:rPr>
        <w:t>kỳ * (1/Số lần chi trả quyền lợi hưu trí còn lại)</w:t>
      </w:r>
    </w:p>
    <w:p w:rsidR="00100154" w:rsidRDefault="00100154" w:rsidP="00212C2C">
      <w:pPr>
        <w:jc w:val="both"/>
        <w:rPr>
          <w:szCs w:val="24"/>
        </w:rPr>
      </w:pPr>
      <w:r w:rsidRPr="00A93525">
        <w:rPr>
          <w:szCs w:val="24"/>
        </w:rPr>
        <w:lastRenderedPageBreak/>
        <w:t>Trong Thời hạn chi trả, Giá trị tài khoản hưu trí vẫn được tích lũy</w:t>
      </w:r>
      <w:r w:rsidR="00833959" w:rsidRPr="00A93525">
        <w:rPr>
          <w:szCs w:val="24"/>
        </w:rPr>
        <w:t xml:space="preserve"> </w:t>
      </w:r>
      <w:r w:rsidR="00B90DB7" w:rsidRPr="00A93525">
        <w:rPr>
          <w:szCs w:val="24"/>
        </w:rPr>
        <w:t xml:space="preserve">theo mức </w:t>
      </w:r>
      <w:r w:rsidR="003E512F" w:rsidRPr="00A93525">
        <w:rPr>
          <w:szCs w:val="24"/>
        </w:rPr>
        <w:t>Lãi suất ghi nhận</w:t>
      </w:r>
      <w:r w:rsidR="00E43A9F" w:rsidRPr="00A93525">
        <w:rPr>
          <w:szCs w:val="24"/>
        </w:rPr>
        <w:t xml:space="preserve"> </w:t>
      </w:r>
      <w:r w:rsidRPr="00A93525">
        <w:rPr>
          <w:szCs w:val="24"/>
        </w:rPr>
        <w:t xml:space="preserve">được Công ty công bố tại từng thời điểm. </w:t>
      </w:r>
    </w:p>
    <w:p w:rsidR="0087060B" w:rsidRPr="00A93525" w:rsidRDefault="0087060B" w:rsidP="00212C2C">
      <w:pPr>
        <w:jc w:val="both"/>
        <w:rPr>
          <w:szCs w:val="24"/>
        </w:rPr>
      </w:pPr>
      <w:r w:rsidRPr="00A93525">
        <w:rPr>
          <w:szCs w:val="24"/>
        </w:rPr>
        <w:t>Hợp đồng bảo hiểm hưu trí sẽ chấm dứt hiệu lực ngay khi Giá trị tài khoản hưu trí đã được chi trả toàn bộ.</w:t>
      </w:r>
    </w:p>
    <w:p w:rsidR="00100154" w:rsidRPr="00A93525" w:rsidRDefault="00100154" w:rsidP="00A93525">
      <w:pPr>
        <w:pStyle w:val="Heading2"/>
        <w:keepNext w:val="0"/>
        <w:keepLines w:val="0"/>
        <w:jc w:val="both"/>
        <w:rPr>
          <w:szCs w:val="24"/>
        </w:rPr>
      </w:pPr>
      <w:bookmarkStart w:id="33" w:name="_Ref494724042"/>
      <w:r w:rsidRPr="00A93525">
        <w:rPr>
          <w:szCs w:val="24"/>
        </w:rPr>
        <w:t xml:space="preserve">Quyền lợi </w:t>
      </w:r>
      <w:r w:rsidR="007942DA" w:rsidRPr="00A93525">
        <w:rPr>
          <w:szCs w:val="24"/>
        </w:rPr>
        <w:t>hỗ trợ chi phí hậu sự</w:t>
      </w:r>
      <w:bookmarkEnd w:id="33"/>
    </w:p>
    <w:p w:rsidR="00100154" w:rsidRPr="00A93525" w:rsidRDefault="00100154" w:rsidP="00212C2C">
      <w:pPr>
        <w:jc w:val="both"/>
        <w:rPr>
          <w:szCs w:val="24"/>
        </w:rPr>
      </w:pPr>
      <w:r w:rsidRPr="00A93525">
        <w:rPr>
          <w:szCs w:val="24"/>
        </w:rPr>
        <w:t xml:space="preserve">Nếu Người được bảo hiểm tử vong </w:t>
      </w:r>
      <w:r w:rsidR="007942DA" w:rsidRPr="00A93525">
        <w:rPr>
          <w:szCs w:val="24"/>
        </w:rPr>
        <w:t xml:space="preserve">trong thời gian </w:t>
      </w:r>
      <w:r w:rsidR="00701135" w:rsidRPr="00A93525">
        <w:rPr>
          <w:szCs w:val="24"/>
        </w:rPr>
        <w:t xml:space="preserve">Hợp đồng bảo hiểm hưu trí </w:t>
      </w:r>
      <w:r w:rsidRPr="00A93525">
        <w:rPr>
          <w:szCs w:val="24"/>
        </w:rPr>
        <w:t>c</w:t>
      </w:r>
      <w:r w:rsidR="007942DA" w:rsidRPr="00A93525">
        <w:rPr>
          <w:szCs w:val="24"/>
        </w:rPr>
        <w:t>ó</w:t>
      </w:r>
      <w:r w:rsidRPr="00A93525">
        <w:rPr>
          <w:szCs w:val="24"/>
        </w:rPr>
        <w:t xml:space="preserve"> hiệu lực</w:t>
      </w:r>
      <w:r w:rsidR="00910CF4" w:rsidRPr="00910CF4">
        <w:rPr>
          <w:szCs w:val="24"/>
          <w:lang w:val="en-AU"/>
        </w:rPr>
        <w:t xml:space="preserve"> </w:t>
      </w:r>
      <w:r w:rsidR="00910CF4" w:rsidRPr="00A93525">
        <w:rPr>
          <w:szCs w:val="24"/>
          <w:lang w:val="en-AU"/>
        </w:rPr>
        <w:t>và trong Thời hạn tích lũy</w:t>
      </w:r>
      <w:r w:rsidRPr="00A93525">
        <w:rPr>
          <w:szCs w:val="24"/>
        </w:rPr>
        <w:t xml:space="preserve">, Công ty </w:t>
      </w:r>
      <w:r w:rsidR="007942DA" w:rsidRPr="00A93525">
        <w:rPr>
          <w:szCs w:val="24"/>
        </w:rPr>
        <w:t>sẽ</w:t>
      </w:r>
      <w:r w:rsidRPr="00A93525">
        <w:rPr>
          <w:szCs w:val="24"/>
        </w:rPr>
        <w:t xml:space="preserve"> chi trả </w:t>
      </w:r>
      <w:r w:rsidR="00A90F61" w:rsidRPr="00A93525">
        <w:rPr>
          <w:szCs w:val="24"/>
        </w:rPr>
        <w:t>3</w:t>
      </w:r>
      <w:r w:rsidRPr="00A93525">
        <w:rPr>
          <w:szCs w:val="24"/>
        </w:rPr>
        <w:t xml:space="preserve">0 triệu đồng. </w:t>
      </w:r>
    </w:p>
    <w:p w:rsidR="00100154" w:rsidRPr="00A93525" w:rsidRDefault="00100154" w:rsidP="00A93525">
      <w:pPr>
        <w:pStyle w:val="Heading2"/>
        <w:keepNext w:val="0"/>
        <w:keepLines w:val="0"/>
        <w:jc w:val="both"/>
        <w:rPr>
          <w:szCs w:val="24"/>
        </w:rPr>
      </w:pPr>
      <w:bookmarkStart w:id="34" w:name="_Ref493523354"/>
      <w:r w:rsidRPr="00A93525">
        <w:rPr>
          <w:szCs w:val="24"/>
        </w:rPr>
        <w:t>Quyền lợi tử vong</w:t>
      </w:r>
      <w:bookmarkEnd w:id="34"/>
    </w:p>
    <w:p w:rsidR="00100154" w:rsidRPr="00A93525" w:rsidRDefault="00100154" w:rsidP="00212C2C">
      <w:pPr>
        <w:jc w:val="both"/>
        <w:rPr>
          <w:szCs w:val="24"/>
          <w:lang w:val="en-AU"/>
        </w:rPr>
      </w:pPr>
      <w:r w:rsidRPr="00A93525">
        <w:rPr>
          <w:szCs w:val="24"/>
          <w:lang w:val="en-AU"/>
        </w:rPr>
        <w:t xml:space="preserve">Nếu Người được bảo hiểm tử vong </w:t>
      </w:r>
      <w:r w:rsidR="000F7311" w:rsidRPr="00A93525">
        <w:rPr>
          <w:szCs w:val="24"/>
          <w:lang w:val="en-AU"/>
        </w:rPr>
        <w:t xml:space="preserve">trong thời gian </w:t>
      </w:r>
      <w:r w:rsidR="00701135" w:rsidRPr="00A93525">
        <w:rPr>
          <w:szCs w:val="24"/>
          <w:lang w:val="en-AU"/>
        </w:rPr>
        <w:t xml:space="preserve">Hợp đồng bảo hiểm hưu trí </w:t>
      </w:r>
      <w:r w:rsidRPr="00A93525">
        <w:rPr>
          <w:szCs w:val="24"/>
          <w:lang w:val="en-AU"/>
        </w:rPr>
        <w:t>c</w:t>
      </w:r>
      <w:r w:rsidR="000F7311" w:rsidRPr="00A93525">
        <w:rPr>
          <w:szCs w:val="24"/>
          <w:lang w:val="en-AU"/>
        </w:rPr>
        <w:t>ó</w:t>
      </w:r>
      <w:r w:rsidRPr="00A93525">
        <w:rPr>
          <w:szCs w:val="24"/>
          <w:lang w:val="en-AU"/>
        </w:rPr>
        <w:t xml:space="preserve"> hiệu lực và trong </w:t>
      </w:r>
      <w:r w:rsidR="00FA36D5" w:rsidRPr="00A93525">
        <w:rPr>
          <w:szCs w:val="24"/>
          <w:lang w:val="en-AU"/>
        </w:rPr>
        <w:t>Thời hạn tích lũy</w:t>
      </w:r>
      <w:r w:rsidRPr="00A93525">
        <w:rPr>
          <w:szCs w:val="24"/>
          <w:lang w:val="en-AU"/>
        </w:rPr>
        <w:t xml:space="preserve">, </w:t>
      </w:r>
      <w:r w:rsidR="007942DA" w:rsidRPr="00A93525">
        <w:rPr>
          <w:szCs w:val="24"/>
          <w:lang w:val="en-AU"/>
        </w:rPr>
        <w:t xml:space="preserve">ngoại trừ các trường hợp quy định tại Điều </w:t>
      </w:r>
      <w:r w:rsidR="005B7A83" w:rsidRPr="00A93525">
        <w:rPr>
          <w:szCs w:val="24"/>
          <w:lang w:val="en-AU"/>
        </w:rPr>
        <w:t>6.1</w:t>
      </w:r>
      <w:r w:rsidR="004834FF" w:rsidRPr="00A93525">
        <w:rPr>
          <w:szCs w:val="24"/>
          <w:lang w:val="en-AU"/>
        </w:rPr>
        <w:t xml:space="preserve"> </w:t>
      </w:r>
      <w:r w:rsidR="007138A5" w:rsidRPr="00A93525">
        <w:rPr>
          <w:szCs w:val="24"/>
          <w:lang w:val="en-AU"/>
        </w:rPr>
        <w:t xml:space="preserve">của Quy tắc và Điều khoản sản phẩm này, </w:t>
      </w:r>
      <w:r w:rsidRPr="00A93525">
        <w:rPr>
          <w:szCs w:val="24"/>
          <w:lang w:val="en-AU"/>
        </w:rPr>
        <w:t xml:space="preserve">Công ty sẽ chi trả </w:t>
      </w:r>
      <w:r w:rsidR="007942DA" w:rsidRPr="00A93525">
        <w:rPr>
          <w:szCs w:val="24"/>
          <w:lang w:val="en-AU"/>
        </w:rPr>
        <w:t xml:space="preserve">giá trị lớn hơn </w:t>
      </w:r>
      <w:r w:rsidR="00ED5C1A" w:rsidRPr="00A93525">
        <w:rPr>
          <w:szCs w:val="24"/>
          <w:lang w:val="en-AU"/>
        </w:rPr>
        <w:t>giữa</w:t>
      </w:r>
      <w:r w:rsidRPr="00A93525">
        <w:rPr>
          <w:szCs w:val="24"/>
          <w:lang w:val="en-AU"/>
        </w:rPr>
        <w:t xml:space="preserve"> Số tiền bảo hiểm </w:t>
      </w:r>
      <w:r w:rsidR="00ED5C1A" w:rsidRPr="00A93525">
        <w:rPr>
          <w:szCs w:val="24"/>
          <w:lang w:val="en-AU"/>
        </w:rPr>
        <w:t xml:space="preserve">và </w:t>
      </w:r>
      <w:r w:rsidRPr="00A93525">
        <w:rPr>
          <w:szCs w:val="24"/>
          <w:lang w:val="en-AU"/>
        </w:rPr>
        <w:t xml:space="preserve">Giá trị tài khoản hưu trí </w:t>
      </w:r>
      <w:r w:rsidR="007942DA" w:rsidRPr="00A93525">
        <w:rPr>
          <w:szCs w:val="24"/>
          <w:lang w:val="en-AU"/>
        </w:rPr>
        <w:t>tại thời điểm</w:t>
      </w:r>
      <w:r w:rsidRPr="00A93525">
        <w:rPr>
          <w:szCs w:val="24"/>
          <w:lang w:val="en-AU"/>
        </w:rPr>
        <w:t xml:space="preserve"> Người được bảo hiểm</w:t>
      </w:r>
      <w:r w:rsidR="007942DA" w:rsidRPr="00A93525">
        <w:rPr>
          <w:szCs w:val="24"/>
          <w:lang w:val="en-AU"/>
        </w:rPr>
        <w:t xml:space="preserve"> tử vong</w:t>
      </w:r>
      <w:r w:rsidR="004A0FDD" w:rsidRPr="00A93525">
        <w:rPr>
          <w:szCs w:val="24"/>
          <w:lang w:val="en-AU"/>
        </w:rPr>
        <w:t>.</w:t>
      </w:r>
      <w:r w:rsidR="00437072" w:rsidRPr="00A93525">
        <w:rPr>
          <w:szCs w:val="24"/>
          <w:lang w:val="en-AU"/>
        </w:rPr>
        <w:t xml:space="preserve"> </w:t>
      </w:r>
    </w:p>
    <w:p w:rsidR="009A0878" w:rsidRPr="00A93525" w:rsidRDefault="00100154" w:rsidP="00212C2C">
      <w:pPr>
        <w:jc w:val="both"/>
        <w:rPr>
          <w:szCs w:val="24"/>
        </w:rPr>
      </w:pPr>
      <w:r w:rsidRPr="00A93525">
        <w:rPr>
          <w:szCs w:val="24"/>
          <w:lang w:val="en-AU"/>
        </w:rPr>
        <w:t xml:space="preserve">Nếu Người được bảo hiểm tử vong </w:t>
      </w:r>
      <w:r w:rsidR="007942DA" w:rsidRPr="00A93525">
        <w:rPr>
          <w:szCs w:val="24"/>
          <w:lang w:val="en-AU"/>
        </w:rPr>
        <w:t xml:space="preserve">trong thời gian </w:t>
      </w:r>
      <w:r w:rsidR="00701135" w:rsidRPr="00A93525">
        <w:rPr>
          <w:szCs w:val="24"/>
          <w:lang w:val="en-AU"/>
        </w:rPr>
        <w:t xml:space="preserve">Hợp đồng bảo hiểm hưu trí </w:t>
      </w:r>
      <w:r w:rsidRPr="00A93525">
        <w:rPr>
          <w:szCs w:val="24"/>
          <w:lang w:val="en-AU"/>
        </w:rPr>
        <w:t>c</w:t>
      </w:r>
      <w:r w:rsidR="007942DA" w:rsidRPr="00A93525">
        <w:rPr>
          <w:szCs w:val="24"/>
          <w:lang w:val="en-AU"/>
        </w:rPr>
        <w:t>ó</w:t>
      </w:r>
      <w:r w:rsidRPr="00A93525">
        <w:rPr>
          <w:szCs w:val="24"/>
          <w:lang w:val="en-AU"/>
        </w:rPr>
        <w:t xml:space="preserve"> hiệu lực và trong Thời hạn chi trả, </w:t>
      </w:r>
      <w:r w:rsidR="009A0878" w:rsidRPr="00A93525">
        <w:rPr>
          <w:szCs w:val="24"/>
        </w:rPr>
        <w:t xml:space="preserve">Công ty sẽ </w:t>
      </w:r>
      <w:r w:rsidR="007942DA" w:rsidRPr="00A93525">
        <w:rPr>
          <w:szCs w:val="24"/>
        </w:rPr>
        <w:t xml:space="preserve">chi </w:t>
      </w:r>
      <w:r w:rsidR="009A0878" w:rsidRPr="00A93525">
        <w:rPr>
          <w:szCs w:val="24"/>
        </w:rPr>
        <w:t>trả Giá trị tài khoản hưu trí</w:t>
      </w:r>
      <w:r w:rsidR="007942DA" w:rsidRPr="00A93525">
        <w:rPr>
          <w:szCs w:val="24"/>
        </w:rPr>
        <w:t xml:space="preserve"> </w:t>
      </w:r>
      <w:r w:rsidR="007942DA" w:rsidRPr="00A93525">
        <w:rPr>
          <w:szCs w:val="24"/>
          <w:lang w:val="en-AU"/>
        </w:rPr>
        <w:t>tại thời điểm Người được bảo hiểm tử vong</w:t>
      </w:r>
      <w:r w:rsidR="009A0878" w:rsidRPr="00A93525">
        <w:rPr>
          <w:szCs w:val="24"/>
        </w:rPr>
        <w:t xml:space="preserve">. </w:t>
      </w:r>
    </w:p>
    <w:p w:rsidR="00100154" w:rsidRPr="00A93525" w:rsidRDefault="00701135" w:rsidP="00212C2C">
      <w:pPr>
        <w:jc w:val="both"/>
        <w:rPr>
          <w:szCs w:val="24"/>
          <w:lang w:val="en-AU"/>
        </w:rPr>
      </w:pPr>
      <w:r w:rsidRPr="00A93525">
        <w:rPr>
          <w:szCs w:val="24"/>
          <w:lang w:val="en-AU"/>
        </w:rPr>
        <w:t xml:space="preserve">Hợp đồng bảo hiểm hưu trí </w:t>
      </w:r>
      <w:r w:rsidR="00100154" w:rsidRPr="00A93525">
        <w:rPr>
          <w:szCs w:val="24"/>
          <w:lang w:val="en-AU"/>
        </w:rPr>
        <w:t xml:space="preserve">sẽ chấm dứt hiệu lực ngay khi </w:t>
      </w:r>
      <w:r w:rsidR="007138A5" w:rsidRPr="00A93525">
        <w:rPr>
          <w:szCs w:val="24"/>
          <w:lang w:val="en-AU"/>
        </w:rPr>
        <w:t>Người được bảo hiểm tử vong.</w:t>
      </w:r>
    </w:p>
    <w:p w:rsidR="00100154" w:rsidRPr="00A93525" w:rsidRDefault="00100154" w:rsidP="00A93525">
      <w:pPr>
        <w:pStyle w:val="Heading2"/>
        <w:keepNext w:val="0"/>
        <w:keepLines w:val="0"/>
        <w:spacing w:before="200" w:after="200"/>
        <w:jc w:val="both"/>
        <w:rPr>
          <w:color w:val="000000"/>
          <w:szCs w:val="24"/>
        </w:rPr>
      </w:pPr>
      <w:bookmarkStart w:id="35" w:name="_Toc416851214"/>
      <w:bookmarkStart w:id="36" w:name="_Ref493524531"/>
      <w:bookmarkStart w:id="37" w:name="_Ref493524873"/>
      <w:bookmarkStart w:id="38" w:name="_Ref494724498"/>
      <w:bookmarkStart w:id="39" w:name="_Ref494724520"/>
      <w:r w:rsidRPr="00A93525">
        <w:rPr>
          <w:color w:val="000000"/>
          <w:szCs w:val="24"/>
        </w:rPr>
        <w:t>Quyền lợi Thương tật toàn bộ vĩnh viễn</w:t>
      </w:r>
      <w:bookmarkEnd w:id="35"/>
      <w:bookmarkEnd w:id="36"/>
      <w:bookmarkEnd w:id="37"/>
      <w:bookmarkEnd w:id="38"/>
      <w:bookmarkEnd w:id="39"/>
    </w:p>
    <w:p w:rsidR="00100154" w:rsidRPr="00A93525" w:rsidRDefault="00100154" w:rsidP="00212C2C">
      <w:pPr>
        <w:jc w:val="both"/>
        <w:rPr>
          <w:szCs w:val="24"/>
        </w:rPr>
      </w:pPr>
      <w:r w:rsidRPr="00A93525">
        <w:rPr>
          <w:szCs w:val="24"/>
        </w:rPr>
        <w:t xml:space="preserve">Nếu Người được bảo hiểm bị Thương tật toàn bộ vĩnh viễn </w:t>
      </w:r>
      <w:r w:rsidR="007138A5" w:rsidRPr="00A93525">
        <w:rPr>
          <w:szCs w:val="24"/>
        </w:rPr>
        <w:t xml:space="preserve">trước tuổi 66, trong thời gian </w:t>
      </w:r>
      <w:r w:rsidR="00701135" w:rsidRPr="00A93525">
        <w:rPr>
          <w:szCs w:val="24"/>
        </w:rPr>
        <w:t xml:space="preserve">Hợp đồng bảo hiểm hưu trí </w:t>
      </w:r>
      <w:r w:rsidRPr="00A93525">
        <w:rPr>
          <w:szCs w:val="24"/>
        </w:rPr>
        <w:t>c</w:t>
      </w:r>
      <w:r w:rsidR="007138A5" w:rsidRPr="00A93525">
        <w:rPr>
          <w:szCs w:val="24"/>
        </w:rPr>
        <w:t>ó</w:t>
      </w:r>
      <w:r w:rsidRPr="00A93525">
        <w:rPr>
          <w:szCs w:val="24"/>
        </w:rPr>
        <w:t xml:space="preserve"> hiệu lực và trong Thời hạn tích lũy, </w:t>
      </w:r>
      <w:r w:rsidR="007138A5" w:rsidRPr="00A93525">
        <w:rPr>
          <w:szCs w:val="24"/>
          <w:lang w:val="en-AU"/>
        </w:rPr>
        <w:t xml:space="preserve">ngoại trừ các trường hợp quy định tại Điều </w:t>
      </w:r>
      <w:r w:rsidR="00561A5B" w:rsidRPr="00A93525">
        <w:rPr>
          <w:szCs w:val="24"/>
          <w:lang w:val="en-AU"/>
        </w:rPr>
        <w:t>6.2</w:t>
      </w:r>
      <w:r w:rsidR="005C47E2" w:rsidRPr="00A93525">
        <w:rPr>
          <w:szCs w:val="24"/>
          <w:lang w:val="en-AU"/>
        </w:rPr>
        <w:t xml:space="preserve"> </w:t>
      </w:r>
      <w:r w:rsidR="007138A5" w:rsidRPr="00A93525">
        <w:rPr>
          <w:szCs w:val="24"/>
          <w:lang w:val="en-AU"/>
        </w:rPr>
        <w:t xml:space="preserve">của Quy tắc và Điều khoản sản phẩm này, </w:t>
      </w:r>
      <w:r w:rsidRPr="00A93525">
        <w:rPr>
          <w:szCs w:val="24"/>
        </w:rPr>
        <w:t xml:space="preserve">Công ty sẽ chi trả </w:t>
      </w:r>
      <w:r w:rsidR="007138A5" w:rsidRPr="00A93525">
        <w:rPr>
          <w:szCs w:val="24"/>
          <w:lang w:val="en-AU"/>
        </w:rPr>
        <w:t>giá trị</w:t>
      </w:r>
      <w:r w:rsidR="00ED5C1A" w:rsidRPr="00A93525">
        <w:rPr>
          <w:szCs w:val="24"/>
          <w:lang w:val="en-AU"/>
        </w:rPr>
        <w:t xml:space="preserve"> </w:t>
      </w:r>
      <w:r w:rsidR="007138A5" w:rsidRPr="00A93525">
        <w:rPr>
          <w:szCs w:val="24"/>
          <w:lang w:val="en-AU"/>
        </w:rPr>
        <w:t xml:space="preserve">lớn hơn </w:t>
      </w:r>
      <w:r w:rsidR="00ED5C1A" w:rsidRPr="00A93525">
        <w:rPr>
          <w:szCs w:val="24"/>
          <w:lang w:val="en-AU"/>
        </w:rPr>
        <w:t>giữa</w:t>
      </w:r>
      <w:r w:rsidR="007138A5" w:rsidRPr="00A93525">
        <w:rPr>
          <w:szCs w:val="24"/>
          <w:lang w:val="en-AU"/>
        </w:rPr>
        <w:t xml:space="preserve"> </w:t>
      </w:r>
      <w:r w:rsidRPr="00A93525">
        <w:rPr>
          <w:szCs w:val="24"/>
        </w:rPr>
        <w:t xml:space="preserve">Số tiền bảo hiểm </w:t>
      </w:r>
      <w:r w:rsidR="00ED5C1A" w:rsidRPr="00A93525">
        <w:rPr>
          <w:szCs w:val="24"/>
        </w:rPr>
        <w:t xml:space="preserve">và </w:t>
      </w:r>
      <w:r w:rsidRPr="00A93525">
        <w:rPr>
          <w:szCs w:val="24"/>
        </w:rPr>
        <w:t xml:space="preserve">Giá trị tài khoản hưu trí tại thời điểm </w:t>
      </w:r>
      <w:r w:rsidR="007138A5" w:rsidRPr="00A93525">
        <w:rPr>
          <w:szCs w:val="24"/>
        </w:rPr>
        <w:t xml:space="preserve">Người được bảo hiểm </w:t>
      </w:r>
      <w:r w:rsidRPr="00A93525">
        <w:rPr>
          <w:szCs w:val="24"/>
        </w:rPr>
        <w:t>bị Thương tật toàn bộ vĩnh viễn.</w:t>
      </w:r>
    </w:p>
    <w:p w:rsidR="00100154" w:rsidRPr="00A93525" w:rsidRDefault="00100154" w:rsidP="00212C2C">
      <w:pPr>
        <w:jc w:val="both"/>
        <w:rPr>
          <w:szCs w:val="24"/>
        </w:rPr>
      </w:pPr>
      <w:r w:rsidRPr="00A93525">
        <w:rPr>
          <w:szCs w:val="24"/>
        </w:rPr>
        <w:t xml:space="preserve">Nếu Người được bảo hiểm bị Thương tật toàn bộ vĩnh viễn </w:t>
      </w:r>
      <w:r w:rsidR="007138A5" w:rsidRPr="00A93525">
        <w:rPr>
          <w:szCs w:val="24"/>
        </w:rPr>
        <w:t>trước tuổi 66, trong thời gian Hợp đồng bảo hiểm hưu trí có hiệu lực và trong Thời hạn chi trả, Công ty sẽ chi trả Giá trị tài khoản hưu trí tại thời điểm Người được bảo hiểm bị Thương tật toàn bộ vĩnh viễn.</w:t>
      </w:r>
    </w:p>
    <w:p w:rsidR="00100154" w:rsidRPr="00A93525" w:rsidRDefault="00701135" w:rsidP="00212C2C">
      <w:pPr>
        <w:jc w:val="both"/>
        <w:rPr>
          <w:szCs w:val="24"/>
          <w:lang w:val="en-AU"/>
        </w:rPr>
      </w:pPr>
      <w:r w:rsidRPr="00A93525">
        <w:rPr>
          <w:szCs w:val="24"/>
          <w:lang w:val="en-AU"/>
        </w:rPr>
        <w:t xml:space="preserve">Hợp đồng bảo hiểm hưu trí </w:t>
      </w:r>
      <w:r w:rsidR="00100154" w:rsidRPr="00A93525">
        <w:rPr>
          <w:szCs w:val="24"/>
          <w:lang w:val="en-AU"/>
        </w:rPr>
        <w:t xml:space="preserve">sẽ chấm dứt hiệu lực ngay khi </w:t>
      </w:r>
      <w:r w:rsidR="00833959" w:rsidRPr="00A93525">
        <w:rPr>
          <w:szCs w:val="24"/>
          <w:lang w:val="en-AU"/>
        </w:rPr>
        <w:t>Q</w:t>
      </w:r>
      <w:r w:rsidR="00100154" w:rsidRPr="00A93525">
        <w:rPr>
          <w:szCs w:val="24"/>
          <w:lang w:val="en-AU"/>
        </w:rPr>
        <w:t xml:space="preserve">uyền lợi </w:t>
      </w:r>
      <w:r w:rsidR="00833959" w:rsidRPr="00A93525">
        <w:rPr>
          <w:szCs w:val="24"/>
          <w:lang w:val="en-AU"/>
        </w:rPr>
        <w:t>Thương tật toàn bộ vĩnh viễn</w:t>
      </w:r>
      <w:r w:rsidR="00100154" w:rsidRPr="00A93525">
        <w:rPr>
          <w:szCs w:val="24"/>
          <w:lang w:val="en-AU"/>
        </w:rPr>
        <w:t xml:space="preserve"> được</w:t>
      </w:r>
      <w:r w:rsidR="00833959" w:rsidRPr="00A93525">
        <w:rPr>
          <w:szCs w:val="24"/>
          <w:lang w:val="en-AU"/>
        </w:rPr>
        <w:t xml:space="preserve"> chấp thuận</w:t>
      </w:r>
      <w:r w:rsidR="00100154" w:rsidRPr="00A93525">
        <w:rPr>
          <w:szCs w:val="24"/>
          <w:lang w:val="en-AU"/>
        </w:rPr>
        <w:t xml:space="preserve"> chi trả.</w:t>
      </w:r>
    </w:p>
    <w:p w:rsidR="00100154" w:rsidRPr="00A93525" w:rsidRDefault="00100154" w:rsidP="00A93525">
      <w:pPr>
        <w:pStyle w:val="Heading2"/>
        <w:keepNext w:val="0"/>
        <w:keepLines w:val="0"/>
        <w:spacing w:after="200"/>
        <w:jc w:val="both"/>
        <w:rPr>
          <w:color w:val="000000"/>
          <w:szCs w:val="24"/>
        </w:rPr>
      </w:pPr>
      <w:bookmarkStart w:id="40" w:name="_Toc349293591"/>
      <w:bookmarkStart w:id="41" w:name="_Toc416851215"/>
      <w:r w:rsidRPr="00A93525">
        <w:rPr>
          <w:color w:val="000000"/>
          <w:szCs w:val="24"/>
        </w:rPr>
        <w:t xml:space="preserve"> Quyền lợi </w:t>
      </w:r>
      <w:r w:rsidR="002566A2" w:rsidRPr="00A93525">
        <w:rPr>
          <w:color w:val="000000"/>
          <w:szCs w:val="24"/>
        </w:rPr>
        <w:t xml:space="preserve">hưởng </w:t>
      </w:r>
      <w:r w:rsidRPr="00A93525">
        <w:rPr>
          <w:color w:val="000000"/>
          <w:szCs w:val="24"/>
        </w:rPr>
        <w:t xml:space="preserve">lãi từ kết quả đầu tư của </w:t>
      </w:r>
      <w:bookmarkEnd w:id="40"/>
      <w:r w:rsidRPr="00A93525">
        <w:rPr>
          <w:color w:val="000000"/>
          <w:szCs w:val="24"/>
        </w:rPr>
        <w:t>Quỹ hưu trí</w:t>
      </w:r>
      <w:bookmarkEnd w:id="41"/>
    </w:p>
    <w:p w:rsidR="00100154" w:rsidRPr="00A93525" w:rsidRDefault="00100154" w:rsidP="00212C2C">
      <w:pPr>
        <w:jc w:val="both"/>
        <w:rPr>
          <w:szCs w:val="24"/>
        </w:rPr>
      </w:pPr>
      <w:r w:rsidRPr="00A93525">
        <w:rPr>
          <w:szCs w:val="24"/>
        </w:rPr>
        <w:t xml:space="preserve">Trong thời gian </w:t>
      </w:r>
      <w:r w:rsidR="00701135" w:rsidRPr="00A93525">
        <w:rPr>
          <w:szCs w:val="24"/>
        </w:rPr>
        <w:t xml:space="preserve">Hợp đồng bảo hiểm hưu trí </w:t>
      </w:r>
      <w:r w:rsidRPr="00A93525">
        <w:rPr>
          <w:szCs w:val="24"/>
        </w:rPr>
        <w:t xml:space="preserve">có hiệu lực, Giá trị tài khoản hưu trí sẽ được tích lũy theo mức </w:t>
      </w:r>
      <w:r w:rsidR="003E512F" w:rsidRPr="00A93525">
        <w:rPr>
          <w:szCs w:val="24"/>
        </w:rPr>
        <w:t>Lãi suất ghi nhận</w:t>
      </w:r>
      <w:r w:rsidRPr="00A93525">
        <w:rPr>
          <w:szCs w:val="24"/>
        </w:rPr>
        <w:t xml:space="preserve"> </w:t>
      </w:r>
      <w:r w:rsidR="00833959" w:rsidRPr="00A93525">
        <w:rPr>
          <w:szCs w:val="24"/>
        </w:rPr>
        <w:t>được Công ty công bố tại từng thời điểm</w:t>
      </w:r>
      <w:r w:rsidRPr="00A93525">
        <w:rPr>
          <w:szCs w:val="24"/>
        </w:rPr>
        <w:t>.</w:t>
      </w:r>
    </w:p>
    <w:p w:rsidR="00E33240" w:rsidRPr="00A93525" w:rsidRDefault="003E512F" w:rsidP="00212C2C">
      <w:pPr>
        <w:jc w:val="both"/>
        <w:rPr>
          <w:szCs w:val="24"/>
        </w:rPr>
      </w:pPr>
      <w:r w:rsidRPr="00A93525">
        <w:rPr>
          <w:szCs w:val="24"/>
        </w:rPr>
        <w:t>Lãi suất ghi nhận</w:t>
      </w:r>
      <w:r w:rsidR="004A5E27" w:rsidRPr="00A93525">
        <w:rPr>
          <w:szCs w:val="24"/>
        </w:rPr>
        <w:t xml:space="preserve"> </w:t>
      </w:r>
      <w:r w:rsidR="00E044E8" w:rsidRPr="00A93525">
        <w:rPr>
          <w:szCs w:val="24"/>
        </w:rPr>
        <w:t>được đảm bảo không thấp hơn tỷ lệ dưới đây</w:t>
      </w:r>
      <w:r w:rsidR="006141B9" w:rsidRPr="00A93525">
        <w:rPr>
          <w:szCs w:val="24"/>
        </w:rPr>
        <w:t xml:space="preserve"> trong</w:t>
      </w:r>
      <w:r w:rsidR="00437072" w:rsidRPr="00A93525">
        <w:rPr>
          <w:szCs w:val="24"/>
        </w:rPr>
        <w:t xml:space="preserve"> suốt</w:t>
      </w:r>
      <w:r w:rsidR="006141B9" w:rsidRPr="00A93525">
        <w:rPr>
          <w:szCs w:val="24"/>
        </w:rPr>
        <w:t xml:space="preserve"> Thời hạn </w:t>
      </w:r>
      <w:r w:rsidR="00437072" w:rsidRPr="00A93525">
        <w:rPr>
          <w:szCs w:val="24"/>
        </w:rPr>
        <w:t>bảo hiểm</w:t>
      </w:r>
      <w:r w:rsidR="00E33240" w:rsidRPr="00A93525">
        <w:rPr>
          <w:szCs w:val="24"/>
        </w:rPr>
        <w:t>:</w:t>
      </w:r>
    </w:p>
    <w:tbl>
      <w:tblPr>
        <w:tblW w:w="5000" w:type="pct"/>
        <w:jc w:val="center"/>
        <w:tblLook w:val="04A0"/>
      </w:tblPr>
      <w:tblGrid>
        <w:gridCol w:w="4394"/>
        <w:gridCol w:w="582"/>
        <w:gridCol w:w="714"/>
        <w:gridCol w:w="1061"/>
        <w:gridCol w:w="921"/>
        <w:gridCol w:w="1904"/>
      </w:tblGrid>
      <w:tr w:rsidR="00B04B8C" w:rsidRPr="00A93525" w:rsidTr="0092166C">
        <w:trPr>
          <w:trHeight w:val="20"/>
          <w:jc w:val="center"/>
        </w:trPr>
        <w:tc>
          <w:tcPr>
            <w:tcW w:w="2294" w:type="pct"/>
            <w:tcBorders>
              <w:top w:val="single" w:sz="4" w:space="0" w:color="auto"/>
              <w:left w:val="single" w:sz="4" w:space="0" w:color="auto"/>
              <w:bottom w:val="single" w:sz="4" w:space="0" w:color="auto"/>
              <w:right w:val="single" w:sz="4" w:space="0" w:color="auto"/>
            </w:tcBorders>
            <w:shd w:val="clear" w:color="auto" w:fill="auto"/>
            <w:vAlign w:val="center"/>
          </w:tcPr>
          <w:p w:rsidR="00B04B8C" w:rsidRPr="00A93525" w:rsidRDefault="00B04B8C" w:rsidP="00212C2C">
            <w:pPr>
              <w:spacing w:before="0" w:after="0" w:line="360" w:lineRule="auto"/>
              <w:jc w:val="center"/>
              <w:rPr>
                <w:b/>
                <w:bCs/>
                <w:color w:val="000000"/>
                <w:szCs w:val="24"/>
              </w:rPr>
            </w:pPr>
            <w:bookmarkStart w:id="42" w:name="_Toc416851216"/>
          </w:p>
        </w:tc>
        <w:tc>
          <w:tcPr>
            <w:tcW w:w="1712" w:type="pct"/>
            <w:gridSpan w:val="4"/>
            <w:tcBorders>
              <w:top w:val="single" w:sz="4" w:space="0" w:color="auto"/>
              <w:left w:val="nil"/>
              <w:bottom w:val="single" w:sz="4" w:space="0" w:color="auto"/>
              <w:right w:val="single" w:sz="4" w:space="0" w:color="auto"/>
            </w:tcBorders>
            <w:shd w:val="clear" w:color="auto" w:fill="auto"/>
            <w:noWrap/>
            <w:vAlign w:val="center"/>
          </w:tcPr>
          <w:p w:rsidR="00B04B8C" w:rsidRPr="00A93525" w:rsidRDefault="00B04B8C" w:rsidP="00212C2C">
            <w:pPr>
              <w:spacing w:before="0" w:after="0" w:line="360" w:lineRule="auto"/>
              <w:jc w:val="center"/>
              <w:rPr>
                <w:bCs/>
                <w:color w:val="000000"/>
                <w:szCs w:val="24"/>
              </w:rPr>
            </w:pPr>
            <w:r w:rsidRPr="00A93525">
              <w:rPr>
                <w:bCs/>
                <w:color w:val="000000"/>
                <w:szCs w:val="24"/>
              </w:rPr>
              <w:t>Thời hạn tích lũy</w:t>
            </w:r>
          </w:p>
        </w:tc>
        <w:tc>
          <w:tcPr>
            <w:tcW w:w="994" w:type="pct"/>
            <w:tcBorders>
              <w:top w:val="single" w:sz="4" w:space="0" w:color="auto"/>
              <w:left w:val="nil"/>
              <w:bottom w:val="single" w:sz="4" w:space="0" w:color="auto"/>
              <w:right w:val="single" w:sz="4" w:space="0" w:color="auto"/>
            </w:tcBorders>
            <w:shd w:val="clear" w:color="auto" w:fill="auto"/>
            <w:vAlign w:val="center"/>
          </w:tcPr>
          <w:p w:rsidR="00B04B8C" w:rsidRPr="00A93525" w:rsidRDefault="00B04B8C" w:rsidP="00212C2C">
            <w:pPr>
              <w:spacing w:before="0" w:after="0" w:line="360" w:lineRule="auto"/>
              <w:jc w:val="center"/>
              <w:rPr>
                <w:bCs/>
                <w:color w:val="000000"/>
                <w:szCs w:val="24"/>
              </w:rPr>
            </w:pPr>
            <w:r w:rsidRPr="00A93525">
              <w:rPr>
                <w:bCs/>
                <w:color w:val="000000"/>
                <w:szCs w:val="24"/>
              </w:rPr>
              <w:t>Thời hạn chi trả</w:t>
            </w:r>
          </w:p>
        </w:tc>
      </w:tr>
      <w:tr w:rsidR="00B04B8C" w:rsidRPr="00A93525" w:rsidTr="0092166C">
        <w:trPr>
          <w:trHeight w:val="20"/>
          <w:jc w:val="center"/>
        </w:trPr>
        <w:tc>
          <w:tcPr>
            <w:tcW w:w="2294" w:type="pct"/>
            <w:tcBorders>
              <w:top w:val="single" w:sz="4" w:space="0" w:color="auto"/>
              <w:left w:val="single" w:sz="4" w:space="0" w:color="auto"/>
              <w:bottom w:val="single" w:sz="4" w:space="0" w:color="auto"/>
              <w:right w:val="single" w:sz="4" w:space="0" w:color="auto"/>
            </w:tcBorders>
            <w:vAlign w:val="center"/>
            <w:hideMark/>
          </w:tcPr>
          <w:p w:rsidR="00B04B8C" w:rsidRPr="00A93525" w:rsidRDefault="00B04B8C" w:rsidP="00212C2C">
            <w:pPr>
              <w:spacing w:before="0" w:after="0" w:line="360" w:lineRule="auto"/>
              <w:jc w:val="center"/>
              <w:rPr>
                <w:b/>
                <w:bCs/>
                <w:color w:val="000000"/>
                <w:szCs w:val="24"/>
              </w:rPr>
            </w:pPr>
            <w:r w:rsidRPr="00A93525">
              <w:rPr>
                <w:b/>
                <w:bCs/>
                <w:color w:val="000000"/>
                <w:szCs w:val="24"/>
              </w:rPr>
              <w:t>Năm hợp đồng</w:t>
            </w:r>
          </w:p>
        </w:tc>
        <w:tc>
          <w:tcPr>
            <w:tcW w:w="304" w:type="pct"/>
            <w:tcBorders>
              <w:top w:val="single" w:sz="4" w:space="0" w:color="auto"/>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bCs/>
                <w:color w:val="000000"/>
                <w:szCs w:val="24"/>
              </w:rPr>
            </w:pPr>
            <w:r w:rsidRPr="00A93525">
              <w:rPr>
                <w:bCs/>
                <w:color w:val="000000"/>
                <w:szCs w:val="24"/>
              </w:rPr>
              <w:t>1-2</w:t>
            </w:r>
          </w:p>
        </w:tc>
        <w:tc>
          <w:tcPr>
            <w:tcW w:w="373" w:type="pct"/>
            <w:tcBorders>
              <w:top w:val="single" w:sz="4" w:space="0" w:color="auto"/>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bCs/>
                <w:color w:val="000000"/>
                <w:szCs w:val="24"/>
              </w:rPr>
            </w:pPr>
            <w:r w:rsidRPr="00A93525">
              <w:rPr>
                <w:bCs/>
                <w:color w:val="000000"/>
                <w:szCs w:val="24"/>
              </w:rPr>
              <w:t>3-</w:t>
            </w:r>
            <w:r w:rsidR="0029593B" w:rsidRPr="00A93525">
              <w:rPr>
                <w:bCs/>
                <w:color w:val="000000"/>
                <w:szCs w:val="24"/>
              </w:rPr>
              <w:t>5</w:t>
            </w:r>
          </w:p>
        </w:tc>
        <w:tc>
          <w:tcPr>
            <w:tcW w:w="554" w:type="pct"/>
            <w:tcBorders>
              <w:top w:val="single" w:sz="4" w:space="0" w:color="auto"/>
              <w:left w:val="nil"/>
              <w:bottom w:val="single" w:sz="4" w:space="0" w:color="auto"/>
              <w:right w:val="single" w:sz="4" w:space="0" w:color="auto"/>
            </w:tcBorders>
            <w:noWrap/>
            <w:vAlign w:val="center"/>
            <w:hideMark/>
          </w:tcPr>
          <w:p w:rsidR="00B04B8C" w:rsidRPr="00A93525" w:rsidRDefault="0029593B" w:rsidP="00212C2C">
            <w:pPr>
              <w:spacing w:before="0" w:after="0" w:line="360" w:lineRule="auto"/>
              <w:jc w:val="center"/>
              <w:rPr>
                <w:bCs/>
                <w:color w:val="000000"/>
                <w:szCs w:val="24"/>
              </w:rPr>
            </w:pPr>
            <w:r w:rsidRPr="00A93525">
              <w:rPr>
                <w:bCs/>
                <w:color w:val="000000"/>
                <w:szCs w:val="24"/>
              </w:rPr>
              <w:t>6-10</w:t>
            </w:r>
          </w:p>
        </w:tc>
        <w:tc>
          <w:tcPr>
            <w:tcW w:w="481" w:type="pct"/>
            <w:tcBorders>
              <w:top w:val="single" w:sz="4" w:space="0" w:color="auto"/>
              <w:left w:val="nil"/>
              <w:bottom w:val="single" w:sz="4" w:space="0" w:color="auto"/>
              <w:right w:val="single" w:sz="4" w:space="0" w:color="auto"/>
            </w:tcBorders>
            <w:noWrap/>
            <w:vAlign w:val="center"/>
            <w:hideMark/>
          </w:tcPr>
          <w:p w:rsidR="00B04B8C" w:rsidRPr="00A93525" w:rsidRDefault="0029593B" w:rsidP="00212C2C">
            <w:pPr>
              <w:spacing w:before="0" w:after="0" w:line="360" w:lineRule="auto"/>
              <w:jc w:val="center"/>
              <w:rPr>
                <w:bCs/>
                <w:color w:val="000000"/>
                <w:szCs w:val="24"/>
              </w:rPr>
            </w:pPr>
            <w:r w:rsidRPr="00A93525">
              <w:rPr>
                <w:bCs/>
                <w:color w:val="000000"/>
                <w:szCs w:val="24"/>
              </w:rPr>
              <w:t>11+</w:t>
            </w:r>
          </w:p>
        </w:tc>
        <w:tc>
          <w:tcPr>
            <w:tcW w:w="994" w:type="pct"/>
            <w:vMerge w:val="restart"/>
            <w:tcBorders>
              <w:top w:val="single" w:sz="4" w:space="0" w:color="auto"/>
              <w:left w:val="nil"/>
              <w:right w:val="single" w:sz="4" w:space="0" w:color="auto"/>
            </w:tcBorders>
            <w:vAlign w:val="center"/>
          </w:tcPr>
          <w:p w:rsidR="00B04B8C" w:rsidRPr="00A93525" w:rsidRDefault="00B04B8C" w:rsidP="00212C2C">
            <w:pPr>
              <w:spacing w:before="0" w:after="0" w:line="360" w:lineRule="auto"/>
              <w:jc w:val="center"/>
              <w:rPr>
                <w:bCs/>
                <w:color w:val="000000"/>
                <w:szCs w:val="24"/>
              </w:rPr>
            </w:pPr>
            <w:r w:rsidRPr="00A93525">
              <w:rPr>
                <w:bCs/>
                <w:color w:val="000000"/>
                <w:szCs w:val="24"/>
              </w:rPr>
              <w:t>1%</w:t>
            </w:r>
          </w:p>
        </w:tc>
      </w:tr>
      <w:tr w:rsidR="00B04B8C" w:rsidRPr="00A93525" w:rsidTr="0092166C">
        <w:trPr>
          <w:trHeight w:val="20"/>
          <w:jc w:val="center"/>
        </w:trPr>
        <w:tc>
          <w:tcPr>
            <w:tcW w:w="2294" w:type="pct"/>
            <w:tcBorders>
              <w:top w:val="nil"/>
              <w:left w:val="single" w:sz="4" w:space="0" w:color="auto"/>
              <w:bottom w:val="single" w:sz="4" w:space="0" w:color="auto"/>
              <w:right w:val="single" w:sz="4" w:space="0" w:color="auto"/>
            </w:tcBorders>
            <w:vAlign w:val="center"/>
            <w:hideMark/>
          </w:tcPr>
          <w:p w:rsidR="00B04B8C" w:rsidRPr="00A93525" w:rsidRDefault="00B04B8C" w:rsidP="00212C2C">
            <w:pPr>
              <w:spacing w:before="0" w:after="0" w:line="360" w:lineRule="auto"/>
              <w:jc w:val="center"/>
              <w:rPr>
                <w:b/>
                <w:color w:val="000000"/>
                <w:szCs w:val="24"/>
              </w:rPr>
            </w:pPr>
            <w:r w:rsidRPr="00A93525">
              <w:rPr>
                <w:b/>
                <w:color w:val="000000"/>
                <w:szCs w:val="24"/>
              </w:rPr>
              <w:lastRenderedPageBreak/>
              <w:t>Lãi suất ghi nhận đảm bảo hàng năm</w:t>
            </w:r>
          </w:p>
        </w:tc>
        <w:tc>
          <w:tcPr>
            <w:tcW w:w="304" w:type="pct"/>
            <w:tcBorders>
              <w:top w:val="nil"/>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color w:val="000000"/>
                <w:szCs w:val="24"/>
              </w:rPr>
            </w:pPr>
            <w:r w:rsidRPr="00A93525">
              <w:rPr>
                <w:color w:val="000000"/>
                <w:szCs w:val="24"/>
              </w:rPr>
              <w:t>5%</w:t>
            </w:r>
          </w:p>
        </w:tc>
        <w:tc>
          <w:tcPr>
            <w:tcW w:w="373" w:type="pct"/>
            <w:tcBorders>
              <w:top w:val="nil"/>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color w:val="000000"/>
                <w:szCs w:val="24"/>
              </w:rPr>
            </w:pPr>
            <w:r w:rsidRPr="00A93525">
              <w:rPr>
                <w:color w:val="000000"/>
                <w:szCs w:val="24"/>
              </w:rPr>
              <w:t>4%</w:t>
            </w:r>
          </w:p>
        </w:tc>
        <w:tc>
          <w:tcPr>
            <w:tcW w:w="554" w:type="pct"/>
            <w:tcBorders>
              <w:top w:val="nil"/>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color w:val="000000"/>
                <w:szCs w:val="24"/>
              </w:rPr>
            </w:pPr>
            <w:r w:rsidRPr="00A93525">
              <w:rPr>
                <w:color w:val="000000"/>
                <w:szCs w:val="24"/>
              </w:rPr>
              <w:t>3%</w:t>
            </w:r>
          </w:p>
        </w:tc>
        <w:tc>
          <w:tcPr>
            <w:tcW w:w="481" w:type="pct"/>
            <w:tcBorders>
              <w:top w:val="nil"/>
              <w:left w:val="nil"/>
              <w:bottom w:val="single" w:sz="4" w:space="0" w:color="auto"/>
              <w:right w:val="single" w:sz="4" w:space="0" w:color="auto"/>
            </w:tcBorders>
            <w:noWrap/>
            <w:vAlign w:val="center"/>
            <w:hideMark/>
          </w:tcPr>
          <w:p w:rsidR="00B04B8C" w:rsidRPr="00A93525" w:rsidRDefault="00B04B8C" w:rsidP="00212C2C">
            <w:pPr>
              <w:spacing w:before="0" w:after="0" w:line="360" w:lineRule="auto"/>
              <w:jc w:val="center"/>
              <w:rPr>
                <w:color w:val="000000"/>
                <w:szCs w:val="24"/>
              </w:rPr>
            </w:pPr>
            <w:r w:rsidRPr="00A93525">
              <w:rPr>
                <w:color w:val="000000"/>
                <w:szCs w:val="24"/>
              </w:rPr>
              <w:t>2%</w:t>
            </w:r>
          </w:p>
        </w:tc>
        <w:tc>
          <w:tcPr>
            <w:tcW w:w="994" w:type="pct"/>
            <w:vMerge/>
            <w:tcBorders>
              <w:left w:val="nil"/>
              <w:bottom w:val="single" w:sz="4" w:space="0" w:color="auto"/>
              <w:right w:val="single" w:sz="4" w:space="0" w:color="auto"/>
            </w:tcBorders>
            <w:vAlign w:val="center"/>
          </w:tcPr>
          <w:p w:rsidR="00B04B8C" w:rsidRPr="00A93525" w:rsidRDefault="00B04B8C" w:rsidP="00212C2C">
            <w:pPr>
              <w:spacing w:before="0" w:after="0" w:line="360" w:lineRule="auto"/>
              <w:jc w:val="center"/>
              <w:rPr>
                <w:color w:val="000000"/>
                <w:szCs w:val="24"/>
              </w:rPr>
            </w:pPr>
          </w:p>
        </w:tc>
      </w:tr>
    </w:tbl>
    <w:p w:rsidR="00275E8D" w:rsidRPr="00A93525" w:rsidRDefault="00100154" w:rsidP="00A93525">
      <w:pPr>
        <w:pStyle w:val="Heading2"/>
        <w:keepNext w:val="0"/>
        <w:keepLines w:val="0"/>
        <w:spacing w:after="200"/>
        <w:jc w:val="both"/>
        <w:rPr>
          <w:color w:val="000000"/>
          <w:szCs w:val="24"/>
        </w:rPr>
      </w:pPr>
      <w:r w:rsidRPr="00A93525">
        <w:rPr>
          <w:color w:val="000000"/>
          <w:szCs w:val="24"/>
        </w:rPr>
        <w:t xml:space="preserve">Quyền lợi hưởng lãi </w:t>
      </w:r>
      <w:r w:rsidR="00200DDF" w:rsidRPr="00A93525">
        <w:rPr>
          <w:color w:val="000000"/>
          <w:szCs w:val="24"/>
        </w:rPr>
        <w:t xml:space="preserve">suất </w:t>
      </w:r>
      <w:r w:rsidRPr="00A93525">
        <w:rPr>
          <w:color w:val="000000"/>
          <w:szCs w:val="24"/>
        </w:rPr>
        <w:t>ưu đãi</w:t>
      </w:r>
      <w:bookmarkEnd w:id="42"/>
    </w:p>
    <w:p w:rsidR="009E7DAA" w:rsidRPr="00A93525" w:rsidRDefault="00100154" w:rsidP="00212C2C">
      <w:pPr>
        <w:jc w:val="both"/>
        <w:rPr>
          <w:szCs w:val="24"/>
          <w:lang w:val="en-AU"/>
        </w:rPr>
      </w:pPr>
      <w:r w:rsidRPr="00A93525">
        <w:rPr>
          <w:szCs w:val="24"/>
          <w:lang w:val="en-AU"/>
        </w:rPr>
        <w:t xml:space="preserve">Trong thời gian </w:t>
      </w:r>
      <w:r w:rsidR="00701135" w:rsidRPr="00A93525">
        <w:rPr>
          <w:szCs w:val="24"/>
          <w:lang w:val="en-AU"/>
        </w:rPr>
        <w:t xml:space="preserve">Hợp đồng bảo hiểm hưu trí </w:t>
      </w:r>
      <w:r w:rsidR="00833959" w:rsidRPr="00A93525">
        <w:rPr>
          <w:szCs w:val="24"/>
          <w:lang w:val="en-AU"/>
        </w:rPr>
        <w:t>có</w:t>
      </w:r>
      <w:r w:rsidRPr="00A93525">
        <w:rPr>
          <w:szCs w:val="24"/>
          <w:lang w:val="en-AU"/>
        </w:rPr>
        <w:t xml:space="preserve"> hiệu lực</w:t>
      </w:r>
      <w:r w:rsidR="00A4055B" w:rsidRPr="00A93525">
        <w:rPr>
          <w:szCs w:val="24"/>
          <w:lang w:val="en-AU"/>
        </w:rPr>
        <w:t xml:space="preserve"> </w:t>
      </w:r>
      <w:r w:rsidR="00F21037" w:rsidRPr="00A93525">
        <w:rPr>
          <w:szCs w:val="24"/>
        </w:rPr>
        <w:t>và trong Thời hạn tích lũy</w:t>
      </w:r>
      <w:r w:rsidRPr="00A93525">
        <w:rPr>
          <w:szCs w:val="24"/>
          <w:lang w:val="en-AU"/>
        </w:rPr>
        <w:t>, nếu</w:t>
      </w:r>
      <w:r w:rsidR="0022195A" w:rsidRPr="00A93525">
        <w:rPr>
          <w:szCs w:val="24"/>
          <w:lang w:val="en-AU"/>
        </w:rPr>
        <w:t xml:space="preserve"> </w:t>
      </w:r>
      <w:r w:rsidRPr="00A93525">
        <w:rPr>
          <w:szCs w:val="24"/>
          <w:lang w:val="en-AU"/>
        </w:rPr>
        <w:t>Giá trị tài khoản hưu trí tại cuối mỗi Năm hợp đồng</w:t>
      </w:r>
      <w:r w:rsidR="003F5990" w:rsidRPr="00A93525">
        <w:rPr>
          <w:szCs w:val="24"/>
          <w:lang w:val="en-AU"/>
        </w:rPr>
        <w:t xml:space="preserve"> (</w:t>
      </w:r>
      <w:r w:rsidR="00036284" w:rsidRPr="00A93525">
        <w:rPr>
          <w:szCs w:val="24"/>
          <w:lang w:val="en-AU"/>
        </w:rPr>
        <w:t>đã</w:t>
      </w:r>
      <w:r w:rsidR="003F5990" w:rsidRPr="00A93525">
        <w:rPr>
          <w:szCs w:val="24"/>
          <w:lang w:val="en-AU"/>
        </w:rPr>
        <w:t xml:space="preserve"> bao gồm </w:t>
      </w:r>
      <w:r w:rsidR="00242B35" w:rsidRPr="00A93525">
        <w:rPr>
          <w:szCs w:val="24"/>
          <w:lang w:val="en-AU"/>
        </w:rPr>
        <w:t>Quyền lợi</w:t>
      </w:r>
      <w:r w:rsidR="00036284" w:rsidRPr="00A93525">
        <w:rPr>
          <w:szCs w:val="24"/>
          <w:lang w:val="en-AU"/>
        </w:rPr>
        <w:t xml:space="preserve"> </w:t>
      </w:r>
      <w:r w:rsidR="003F5990" w:rsidRPr="00A93525">
        <w:rPr>
          <w:szCs w:val="24"/>
          <w:lang w:val="en-AU"/>
        </w:rPr>
        <w:t xml:space="preserve">thưởng duy trì hợp đồng, </w:t>
      </w:r>
      <w:r w:rsidR="00242B35" w:rsidRPr="00A93525">
        <w:rPr>
          <w:szCs w:val="24"/>
          <w:lang w:val="en-AU"/>
        </w:rPr>
        <w:t xml:space="preserve">Quyền lợi </w:t>
      </w:r>
      <w:r w:rsidR="003F5990" w:rsidRPr="00A93525">
        <w:rPr>
          <w:szCs w:val="24"/>
          <w:lang w:val="en-AU"/>
        </w:rPr>
        <w:t xml:space="preserve">thưởng hoàn tất đóng phí và </w:t>
      </w:r>
      <w:r w:rsidR="00242B35" w:rsidRPr="00A93525">
        <w:rPr>
          <w:szCs w:val="24"/>
          <w:lang w:val="en-AU"/>
        </w:rPr>
        <w:t>Quyền lợi</w:t>
      </w:r>
      <w:r w:rsidR="003F5990" w:rsidRPr="00A93525">
        <w:rPr>
          <w:szCs w:val="24"/>
          <w:lang w:val="en-AU"/>
        </w:rPr>
        <w:t xml:space="preserve"> tuổi </w:t>
      </w:r>
      <w:r w:rsidR="00313B49" w:rsidRPr="00A93525">
        <w:rPr>
          <w:szCs w:val="24"/>
          <w:lang w:val="en-AU"/>
        </w:rPr>
        <w:t>vàng</w:t>
      </w:r>
      <w:r w:rsidR="00036284" w:rsidRPr="00A93525">
        <w:rPr>
          <w:szCs w:val="24"/>
          <w:lang w:val="en-AU"/>
        </w:rPr>
        <w:t>, nếu có</w:t>
      </w:r>
      <w:r w:rsidR="003F5990" w:rsidRPr="00A93525">
        <w:rPr>
          <w:szCs w:val="24"/>
          <w:lang w:val="en-AU"/>
        </w:rPr>
        <w:t>)</w:t>
      </w:r>
      <w:r w:rsidRPr="00A93525">
        <w:rPr>
          <w:szCs w:val="24"/>
          <w:lang w:val="en-AU"/>
        </w:rPr>
        <w:t xml:space="preserve"> đạt mức </w:t>
      </w:r>
      <w:r w:rsidR="00A40F6A" w:rsidRPr="00A93525">
        <w:rPr>
          <w:szCs w:val="24"/>
          <w:lang w:val="en-AU"/>
        </w:rPr>
        <w:t xml:space="preserve">như </w:t>
      </w:r>
      <w:r w:rsidRPr="00A93525">
        <w:rPr>
          <w:szCs w:val="24"/>
          <w:lang w:val="en-AU"/>
        </w:rPr>
        <w:t>quy định</w:t>
      </w:r>
      <w:r w:rsidR="00A40F6A" w:rsidRPr="00A93525">
        <w:rPr>
          <w:szCs w:val="24"/>
          <w:lang w:val="en-AU"/>
        </w:rPr>
        <w:t xml:space="preserve"> trong bảng dưới đây</w:t>
      </w:r>
      <w:r w:rsidR="008141B7" w:rsidRPr="00A93525">
        <w:rPr>
          <w:szCs w:val="24"/>
          <w:lang w:val="en-AU"/>
        </w:rPr>
        <w:t xml:space="preserve"> và tài khoản hưu trí đang không bị đóng tạm thời</w:t>
      </w:r>
      <w:r w:rsidRPr="00A93525">
        <w:rPr>
          <w:szCs w:val="24"/>
          <w:lang w:val="en-AU"/>
        </w:rPr>
        <w:t xml:space="preserve">, một khoản lãi </w:t>
      </w:r>
      <w:r w:rsidR="00200DDF" w:rsidRPr="00A93525">
        <w:rPr>
          <w:szCs w:val="24"/>
          <w:lang w:val="en-AU"/>
        </w:rPr>
        <w:t xml:space="preserve">suất </w:t>
      </w:r>
      <w:r w:rsidRPr="00A93525">
        <w:rPr>
          <w:szCs w:val="24"/>
          <w:lang w:val="en-AU"/>
        </w:rPr>
        <w:t xml:space="preserve">ưu đãi </w:t>
      </w:r>
      <w:r w:rsidR="00A40F6A" w:rsidRPr="00A93525">
        <w:rPr>
          <w:szCs w:val="24"/>
          <w:lang w:val="en-AU"/>
        </w:rPr>
        <w:t>sẽ được tích lũy thêm vào Giá trị tài khoản hưu trí</w:t>
      </w:r>
      <w:r w:rsidRPr="00A93525">
        <w:rPr>
          <w:szCs w:val="24"/>
          <w:lang w:val="en-AU"/>
        </w:rPr>
        <w:t xml:space="preserve">. Lãi </w:t>
      </w:r>
      <w:r w:rsidR="00200DDF" w:rsidRPr="00A93525">
        <w:rPr>
          <w:szCs w:val="24"/>
          <w:lang w:val="en-AU"/>
        </w:rPr>
        <w:t xml:space="preserve">suất </w:t>
      </w:r>
      <w:r w:rsidRPr="00A93525">
        <w:rPr>
          <w:szCs w:val="24"/>
          <w:lang w:val="en-AU"/>
        </w:rPr>
        <w:t>ưu đãi (nếu có) sẽ được tích lũy vào Giá trị tài khoản hưu trí vào cuối mỗi Năm hợp đồng</w:t>
      </w:r>
      <w:r w:rsidR="00A40F6A" w:rsidRPr="00A93525">
        <w:rPr>
          <w:szCs w:val="24"/>
          <w:lang w:val="en-AU"/>
        </w:rPr>
        <w:t xml:space="preserve"> và </w:t>
      </w:r>
      <w:r w:rsidRPr="00A93525">
        <w:rPr>
          <w:szCs w:val="24"/>
          <w:lang w:val="en-AU"/>
        </w:rPr>
        <w:t>được tính b</w:t>
      </w:r>
      <w:r w:rsidR="00D32EEB" w:rsidRPr="00A93525">
        <w:rPr>
          <w:szCs w:val="24"/>
          <w:lang w:val="en-AU"/>
        </w:rPr>
        <w:t>ằ</w:t>
      </w:r>
      <w:r w:rsidRPr="00A93525">
        <w:rPr>
          <w:szCs w:val="24"/>
          <w:lang w:val="en-AU"/>
        </w:rPr>
        <w:t xml:space="preserve">ng cách lấy lãi suất ưu đãi nhân Giá trị tài khoản hưu trí </w:t>
      </w:r>
      <w:r w:rsidR="00A40F6A" w:rsidRPr="00A93525">
        <w:rPr>
          <w:szCs w:val="24"/>
          <w:lang w:val="en-AU"/>
        </w:rPr>
        <w:t xml:space="preserve">tại thời điểm </w:t>
      </w:r>
      <w:r w:rsidRPr="00A93525">
        <w:rPr>
          <w:szCs w:val="24"/>
          <w:lang w:val="en-AU"/>
        </w:rPr>
        <w:t xml:space="preserve">cuối Năm hợp đồng. </w:t>
      </w:r>
    </w:p>
    <w:p w:rsidR="00100154" w:rsidRPr="00A93525" w:rsidRDefault="00100154" w:rsidP="00212C2C">
      <w:pPr>
        <w:jc w:val="both"/>
        <w:rPr>
          <w:color w:val="000000"/>
          <w:szCs w:val="24"/>
        </w:rPr>
      </w:pPr>
      <w:r w:rsidRPr="00A93525">
        <w:rPr>
          <w:szCs w:val="24"/>
          <w:lang w:val="en-AU"/>
        </w:rPr>
        <w:t xml:space="preserve">Lãi suất ưu đãi </w:t>
      </w:r>
      <w:r w:rsidR="009E7DAA" w:rsidRPr="00A93525">
        <w:rPr>
          <w:szCs w:val="24"/>
          <w:lang w:val="en-AU"/>
        </w:rPr>
        <w:t>được quy định</w:t>
      </w:r>
      <w:r w:rsidRPr="00A93525">
        <w:rPr>
          <w:szCs w:val="24"/>
          <w:lang w:val="en-AU"/>
        </w:rPr>
        <w:t xml:space="preserve"> như sau:</w:t>
      </w:r>
    </w:p>
    <w:tbl>
      <w:tblPr>
        <w:tblStyle w:val="TableGrid"/>
        <w:tblW w:w="0" w:type="auto"/>
        <w:jc w:val="center"/>
        <w:tblLook w:val="04A0"/>
      </w:tblPr>
      <w:tblGrid>
        <w:gridCol w:w="4122"/>
        <w:gridCol w:w="2250"/>
      </w:tblGrid>
      <w:tr w:rsidR="00052FE1" w:rsidRPr="00A93525" w:rsidTr="00DC70DB">
        <w:trPr>
          <w:jc w:val="center"/>
        </w:trPr>
        <w:tc>
          <w:tcPr>
            <w:tcW w:w="4122" w:type="dxa"/>
            <w:shd w:val="clear" w:color="auto" w:fill="auto"/>
          </w:tcPr>
          <w:p w:rsidR="00052FE1" w:rsidRPr="00A93525" w:rsidRDefault="00052FE1" w:rsidP="00206FD1">
            <w:pPr>
              <w:jc w:val="center"/>
              <w:rPr>
                <w:b/>
                <w:color w:val="000000"/>
                <w:szCs w:val="24"/>
              </w:rPr>
            </w:pPr>
            <w:r w:rsidRPr="00A93525">
              <w:rPr>
                <w:b/>
                <w:color w:val="000000"/>
                <w:szCs w:val="24"/>
              </w:rPr>
              <w:t>Giá trị tài khoản hưu trí</w:t>
            </w:r>
            <w:r w:rsidR="009E7DAA" w:rsidRPr="00A93525">
              <w:rPr>
                <w:b/>
                <w:color w:val="000000"/>
                <w:szCs w:val="24"/>
              </w:rPr>
              <w:t xml:space="preserve"> </w:t>
            </w:r>
            <w:r w:rsidRPr="00A93525">
              <w:rPr>
                <w:b/>
                <w:color w:val="000000"/>
                <w:szCs w:val="24"/>
              </w:rPr>
              <w:t>(đồng)</w:t>
            </w:r>
          </w:p>
        </w:tc>
        <w:tc>
          <w:tcPr>
            <w:tcW w:w="2250" w:type="dxa"/>
            <w:shd w:val="clear" w:color="auto" w:fill="auto"/>
          </w:tcPr>
          <w:p w:rsidR="00052FE1" w:rsidRPr="00A93525" w:rsidRDefault="00052FE1" w:rsidP="00206FD1">
            <w:pPr>
              <w:jc w:val="center"/>
              <w:rPr>
                <w:b/>
                <w:color w:val="000000"/>
                <w:szCs w:val="24"/>
              </w:rPr>
            </w:pPr>
            <w:r w:rsidRPr="00A93525">
              <w:rPr>
                <w:b/>
                <w:color w:val="000000"/>
                <w:szCs w:val="24"/>
              </w:rPr>
              <w:t>Lãi suất ưu đãi</w:t>
            </w:r>
          </w:p>
        </w:tc>
      </w:tr>
      <w:tr w:rsidR="00052FE1" w:rsidRPr="00A93525" w:rsidTr="00DC70DB">
        <w:trPr>
          <w:jc w:val="center"/>
        </w:trPr>
        <w:tc>
          <w:tcPr>
            <w:tcW w:w="4122" w:type="dxa"/>
          </w:tcPr>
          <w:p w:rsidR="00052FE1" w:rsidRPr="00A93525" w:rsidRDefault="009E7DAA" w:rsidP="00212C2C">
            <w:pPr>
              <w:rPr>
                <w:color w:val="000000"/>
                <w:szCs w:val="24"/>
              </w:rPr>
            </w:pPr>
            <w:r w:rsidRPr="00A93525">
              <w:rPr>
                <w:color w:val="000000"/>
                <w:szCs w:val="24"/>
              </w:rPr>
              <w:t>Từ 100 triệu đến dưới 200 triệu</w:t>
            </w:r>
          </w:p>
        </w:tc>
        <w:tc>
          <w:tcPr>
            <w:tcW w:w="2250" w:type="dxa"/>
          </w:tcPr>
          <w:p w:rsidR="00052FE1" w:rsidRPr="00A93525" w:rsidRDefault="00052FE1" w:rsidP="00206FD1">
            <w:pPr>
              <w:jc w:val="right"/>
              <w:rPr>
                <w:color w:val="000000"/>
                <w:szCs w:val="24"/>
              </w:rPr>
            </w:pPr>
            <w:r w:rsidRPr="00A93525">
              <w:rPr>
                <w:color w:val="000000"/>
                <w:szCs w:val="24"/>
              </w:rPr>
              <w:t>0</w:t>
            </w:r>
            <w:r w:rsidR="009E7DAA" w:rsidRPr="00A93525">
              <w:rPr>
                <w:color w:val="000000"/>
                <w:szCs w:val="24"/>
              </w:rPr>
              <w:t>,</w:t>
            </w:r>
            <w:r w:rsidRPr="00A93525">
              <w:rPr>
                <w:color w:val="000000"/>
                <w:szCs w:val="24"/>
              </w:rPr>
              <w:t>25%</w:t>
            </w:r>
          </w:p>
        </w:tc>
      </w:tr>
      <w:tr w:rsidR="00052FE1" w:rsidRPr="00A93525" w:rsidTr="00DC70DB">
        <w:trPr>
          <w:jc w:val="center"/>
        </w:trPr>
        <w:tc>
          <w:tcPr>
            <w:tcW w:w="4122" w:type="dxa"/>
          </w:tcPr>
          <w:p w:rsidR="00052FE1" w:rsidRPr="00A93525" w:rsidRDefault="009E7DAA" w:rsidP="00212C2C">
            <w:pPr>
              <w:rPr>
                <w:color w:val="000000"/>
                <w:szCs w:val="24"/>
              </w:rPr>
            </w:pPr>
            <w:r w:rsidRPr="00A93525">
              <w:rPr>
                <w:color w:val="000000"/>
                <w:szCs w:val="24"/>
              </w:rPr>
              <w:t>Từ 200 triệu đến dưới 500 triệu</w:t>
            </w:r>
          </w:p>
        </w:tc>
        <w:tc>
          <w:tcPr>
            <w:tcW w:w="2250" w:type="dxa"/>
          </w:tcPr>
          <w:p w:rsidR="00052FE1" w:rsidRPr="00A93525" w:rsidRDefault="00052FE1" w:rsidP="00206FD1">
            <w:pPr>
              <w:jc w:val="right"/>
              <w:rPr>
                <w:color w:val="000000"/>
                <w:szCs w:val="24"/>
              </w:rPr>
            </w:pPr>
            <w:r w:rsidRPr="00A93525">
              <w:rPr>
                <w:color w:val="000000"/>
                <w:szCs w:val="24"/>
              </w:rPr>
              <w:t>0</w:t>
            </w:r>
            <w:r w:rsidR="009E7DAA" w:rsidRPr="00A93525">
              <w:rPr>
                <w:color w:val="000000"/>
                <w:szCs w:val="24"/>
              </w:rPr>
              <w:t>,</w:t>
            </w:r>
            <w:r w:rsidRPr="00A93525">
              <w:rPr>
                <w:color w:val="000000"/>
                <w:szCs w:val="24"/>
              </w:rPr>
              <w:t>50%</w:t>
            </w:r>
          </w:p>
        </w:tc>
      </w:tr>
      <w:tr w:rsidR="00052FE1" w:rsidRPr="00A93525" w:rsidTr="00DC70DB">
        <w:trPr>
          <w:jc w:val="center"/>
        </w:trPr>
        <w:tc>
          <w:tcPr>
            <w:tcW w:w="4122" w:type="dxa"/>
          </w:tcPr>
          <w:p w:rsidR="00052FE1" w:rsidRPr="00A93525" w:rsidRDefault="009E7DAA" w:rsidP="00212C2C">
            <w:pPr>
              <w:rPr>
                <w:color w:val="000000"/>
                <w:szCs w:val="24"/>
              </w:rPr>
            </w:pPr>
            <w:r w:rsidRPr="00A93525">
              <w:rPr>
                <w:color w:val="000000"/>
                <w:szCs w:val="24"/>
              </w:rPr>
              <w:t xml:space="preserve">Từ 500 triệu </w:t>
            </w:r>
          </w:p>
        </w:tc>
        <w:tc>
          <w:tcPr>
            <w:tcW w:w="2250" w:type="dxa"/>
          </w:tcPr>
          <w:p w:rsidR="00052FE1" w:rsidRPr="00A93525" w:rsidRDefault="00052FE1" w:rsidP="00206FD1">
            <w:pPr>
              <w:jc w:val="right"/>
              <w:rPr>
                <w:color w:val="000000"/>
                <w:szCs w:val="24"/>
              </w:rPr>
            </w:pPr>
            <w:r w:rsidRPr="00A93525">
              <w:rPr>
                <w:color w:val="000000"/>
                <w:szCs w:val="24"/>
              </w:rPr>
              <w:t>0</w:t>
            </w:r>
            <w:r w:rsidR="009E7DAA" w:rsidRPr="00A93525">
              <w:rPr>
                <w:color w:val="000000"/>
                <w:szCs w:val="24"/>
              </w:rPr>
              <w:t>,</w:t>
            </w:r>
            <w:r w:rsidRPr="00A93525">
              <w:rPr>
                <w:color w:val="000000"/>
                <w:szCs w:val="24"/>
              </w:rPr>
              <w:t>75%</w:t>
            </w:r>
          </w:p>
        </w:tc>
      </w:tr>
    </w:tbl>
    <w:p w:rsidR="0076424C" w:rsidRPr="00A93525" w:rsidRDefault="00202CFB" w:rsidP="00A93525">
      <w:pPr>
        <w:pStyle w:val="Heading2"/>
        <w:keepNext w:val="0"/>
        <w:keepLines w:val="0"/>
        <w:jc w:val="both"/>
        <w:rPr>
          <w:szCs w:val="24"/>
        </w:rPr>
      </w:pPr>
      <w:r w:rsidRPr="00A93525">
        <w:rPr>
          <w:szCs w:val="24"/>
        </w:rPr>
        <w:t xml:space="preserve">Quyền lợi </w:t>
      </w:r>
      <w:r w:rsidR="00EF4D5C" w:rsidRPr="00A93525">
        <w:rPr>
          <w:szCs w:val="24"/>
        </w:rPr>
        <w:t>t</w:t>
      </w:r>
      <w:r w:rsidR="00FA36D5" w:rsidRPr="00A93525">
        <w:rPr>
          <w:szCs w:val="24"/>
        </w:rPr>
        <w:t>hưởng duy trì hợp đồng</w:t>
      </w:r>
    </w:p>
    <w:p w:rsidR="00FA36D5" w:rsidRPr="00A93525" w:rsidRDefault="0065380C" w:rsidP="00212C2C">
      <w:pPr>
        <w:jc w:val="both"/>
        <w:rPr>
          <w:szCs w:val="24"/>
        </w:rPr>
      </w:pPr>
      <w:r w:rsidRPr="00A93525">
        <w:rPr>
          <w:szCs w:val="24"/>
        </w:rPr>
        <w:t>Kể từ Năm hợp đồng thứ 11 trở đi, vào cuối mỗi Năm hợp đồng,</w:t>
      </w:r>
      <w:r w:rsidRPr="00A93525" w:rsidDel="00EC3770">
        <w:rPr>
          <w:szCs w:val="24"/>
        </w:rPr>
        <w:t xml:space="preserve"> </w:t>
      </w:r>
      <w:r w:rsidR="00FA36D5" w:rsidRPr="00A93525">
        <w:rPr>
          <w:szCs w:val="24"/>
        </w:rPr>
        <w:t xml:space="preserve">1% </w:t>
      </w:r>
      <w:r w:rsidR="00057073" w:rsidRPr="00A93525">
        <w:rPr>
          <w:szCs w:val="24"/>
        </w:rPr>
        <w:t xml:space="preserve">của </w:t>
      </w:r>
      <w:r w:rsidR="00EC3770" w:rsidRPr="00A93525">
        <w:rPr>
          <w:szCs w:val="24"/>
        </w:rPr>
        <w:t xml:space="preserve">tổng </w:t>
      </w:r>
      <w:r w:rsidR="003E512F" w:rsidRPr="00A93525">
        <w:rPr>
          <w:szCs w:val="24"/>
        </w:rPr>
        <w:t xml:space="preserve">các khoản </w:t>
      </w:r>
      <w:r w:rsidR="00CF0D87" w:rsidRPr="00A93525">
        <w:rPr>
          <w:szCs w:val="24"/>
        </w:rPr>
        <w:t>Phí bảo hiểm cơ bản</w:t>
      </w:r>
      <w:r w:rsidR="00FA36D5" w:rsidRPr="00A93525">
        <w:rPr>
          <w:szCs w:val="24"/>
        </w:rPr>
        <w:t xml:space="preserve"> đã đóng </w:t>
      </w:r>
      <w:r w:rsidR="00EC3770" w:rsidRPr="00A93525">
        <w:rPr>
          <w:szCs w:val="24"/>
        </w:rPr>
        <w:t>trong Năm hợp đồng</w:t>
      </w:r>
      <w:r w:rsidR="00A019AC">
        <w:rPr>
          <w:szCs w:val="24"/>
        </w:rPr>
        <w:t xml:space="preserve"> đó </w:t>
      </w:r>
      <w:r w:rsidR="00057073" w:rsidRPr="00A93525">
        <w:rPr>
          <w:szCs w:val="24"/>
        </w:rPr>
        <w:t>sẽ được tích lũy vào Giá trị tài khoản hưu trí</w:t>
      </w:r>
      <w:r w:rsidR="00FA36D5" w:rsidRPr="00A93525">
        <w:rPr>
          <w:szCs w:val="24"/>
        </w:rPr>
        <w:t xml:space="preserve">, với điều kiện </w:t>
      </w:r>
      <w:r w:rsidR="00CF0D87" w:rsidRPr="00A93525">
        <w:rPr>
          <w:szCs w:val="24"/>
        </w:rPr>
        <w:t>Phí bảo hiểm cơ bản</w:t>
      </w:r>
      <w:r w:rsidR="00FA36D5" w:rsidRPr="00A93525">
        <w:rPr>
          <w:szCs w:val="24"/>
        </w:rPr>
        <w:t xml:space="preserve"> được đóng đầy đủ </w:t>
      </w:r>
      <w:r w:rsidR="00511164" w:rsidRPr="00A93525">
        <w:rPr>
          <w:szCs w:val="24"/>
        </w:rPr>
        <w:t>hàng năm</w:t>
      </w:r>
      <w:r w:rsidR="008B1E98" w:rsidRPr="00A93525">
        <w:rPr>
          <w:szCs w:val="24"/>
        </w:rPr>
        <w:t xml:space="preserve"> </w:t>
      </w:r>
      <w:r w:rsidR="00057073" w:rsidRPr="00A93525">
        <w:rPr>
          <w:szCs w:val="24"/>
        </w:rPr>
        <w:t xml:space="preserve">trong </w:t>
      </w:r>
      <w:r w:rsidR="00511164" w:rsidRPr="00A93525">
        <w:rPr>
          <w:szCs w:val="24"/>
        </w:rPr>
        <w:t xml:space="preserve">5 </w:t>
      </w:r>
      <w:r w:rsidR="00057073" w:rsidRPr="00A93525">
        <w:rPr>
          <w:szCs w:val="24"/>
        </w:rPr>
        <w:t>N</w:t>
      </w:r>
      <w:r w:rsidR="00FA36D5" w:rsidRPr="00A93525">
        <w:rPr>
          <w:szCs w:val="24"/>
        </w:rPr>
        <w:t>ăm hợp đồng đầu tiên.</w:t>
      </w:r>
    </w:p>
    <w:p w:rsidR="00FF102B" w:rsidRPr="00A93525" w:rsidRDefault="00FF102B" w:rsidP="00212C2C">
      <w:pPr>
        <w:jc w:val="both"/>
        <w:rPr>
          <w:szCs w:val="24"/>
        </w:rPr>
      </w:pPr>
      <w:r w:rsidRPr="00A93525">
        <w:rPr>
          <w:szCs w:val="24"/>
        </w:rPr>
        <w:t xml:space="preserve">Các Hợp đồng bảo hiểm có Thời hạn tích lũy dưới 11 năm sẽ không được hưởng Quyền lợi thưởng duy trì hợp đồng. </w:t>
      </w:r>
    </w:p>
    <w:p w:rsidR="00E044E8" w:rsidRPr="00A93525" w:rsidRDefault="00E044E8" w:rsidP="00A93525">
      <w:pPr>
        <w:pStyle w:val="Heading2"/>
        <w:keepNext w:val="0"/>
        <w:keepLines w:val="0"/>
        <w:jc w:val="both"/>
        <w:rPr>
          <w:szCs w:val="24"/>
        </w:rPr>
      </w:pPr>
      <w:r w:rsidRPr="00A93525">
        <w:rPr>
          <w:szCs w:val="24"/>
        </w:rPr>
        <w:t>Quyền lợi thưởng hoàn tất đóng phí</w:t>
      </w:r>
    </w:p>
    <w:p w:rsidR="00E044E8" w:rsidRPr="00A93525" w:rsidRDefault="00E044E8" w:rsidP="00212C2C">
      <w:pPr>
        <w:jc w:val="both"/>
        <w:rPr>
          <w:szCs w:val="24"/>
        </w:rPr>
      </w:pPr>
      <w:r w:rsidRPr="00A93525">
        <w:rPr>
          <w:szCs w:val="24"/>
        </w:rPr>
        <w:t xml:space="preserve">Vào ngày kết thúc Thời hạn tích lũy, </w:t>
      </w:r>
      <w:r w:rsidR="00E33240" w:rsidRPr="00A93525">
        <w:rPr>
          <w:szCs w:val="24"/>
        </w:rPr>
        <w:t xml:space="preserve">nếu </w:t>
      </w:r>
      <w:r w:rsidRPr="00A93525">
        <w:rPr>
          <w:szCs w:val="24"/>
        </w:rPr>
        <w:t>Hợp đồng bảo hiểm hưu trí có hiệu lực</w:t>
      </w:r>
      <w:r w:rsidR="00E33240" w:rsidRPr="00A93525">
        <w:rPr>
          <w:szCs w:val="24"/>
        </w:rPr>
        <w:t xml:space="preserve"> và </w:t>
      </w:r>
      <w:r w:rsidR="008141B7" w:rsidRPr="00A93525">
        <w:rPr>
          <w:szCs w:val="24"/>
        </w:rPr>
        <w:t>tài khoản</w:t>
      </w:r>
      <w:r w:rsidR="00E33240" w:rsidRPr="00A93525">
        <w:rPr>
          <w:szCs w:val="24"/>
        </w:rPr>
        <w:t xml:space="preserve"> hưu trí chưa từng bị đóng tạm thời trong vòng 36 tháng </w:t>
      </w:r>
      <w:r w:rsidR="0000040F" w:rsidRPr="00A93525">
        <w:rPr>
          <w:szCs w:val="24"/>
        </w:rPr>
        <w:t xml:space="preserve">liền kề </w:t>
      </w:r>
      <w:r w:rsidR="00E33240" w:rsidRPr="00A93525">
        <w:rPr>
          <w:szCs w:val="24"/>
        </w:rPr>
        <w:t>trước Tuổi nghỉ hưu</w:t>
      </w:r>
      <w:r w:rsidRPr="00A93525">
        <w:rPr>
          <w:szCs w:val="24"/>
        </w:rPr>
        <w:t>, một khoản thưởng bằng toàn bộ Phí quản lý hợp đồng đã khấu trừ trong Thời hạn tích lũy sẽ được tích lũy vào Giá trị tài khoản hưu trí.</w:t>
      </w:r>
    </w:p>
    <w:p w:rsidR="00FA36D5" w:rsidRPr="00A93525" w:rsidRDefault="00FA36D5" w:rsidP="00A93525">
      <w:pPr>
        <w:pStyle w:val="Heading2"/>
        <w:keepNext w:val="0"/>
        <w:keepLines w:val="0"/>
        <w:jc w:val="both"/>
        <w:rPr>
          <w:szCs w:val="24"/>
        </w:rPr>
      </w:pPr>
      <w:r w:rsidRPr="00A93525">
        <w:rPr>
          <w:szCs w:val="24"/>
        </w:rPr>
        <w:t>Quyền lợi tuổi vàng</w:t>
      </w:r>
    </w:p>
    <w:p w:rsidR="00FA36D5" w:rsidRPr="00A93525" w:rsidRDefault="00057073" w:rsidP="00212C2C">
      <w:pPr>
        <w:jc w:val="both"/>
        <w:rPr>
          <w:szCs w:val="24"/>
        </w:rPr>
      </w:pPr>
      <w:r w:rsidRPr="00A93525">
        <w:rPr>
          <w:szCs w:val="24"/>
        </w:rPr>
        <w:t xml:space="preserve">Vào </w:t>
      </w:r>
      <w:r w:rsidR="00306722" w:rsidRPr="00A93525">
        <w:rPr>
          <w:szCs w:val="24"/>
        </w:rPr>
        <w:t>ngày kết thúc</w:t>
      </w:r>
      <w:r w:rsidRPr="00A93525">
        <w:rPr>
          <w:szCs w:val="24"/>
        </w:rPr>
        <w:t xml:space="preserve"> Thời hạn tích lũy</w:t>
      </w:r>
      <w:r w:rsidR="00FA36D5" w:rsidRPr="00A93525">
        <w:rPr>
          <w:szCs w:val="24"/>
        </w:rPr>
        <w:t xml:space="preserve">, </w:t>
      </w:r>
      <w:r w:rsidR="00E33240" w:rsidRPr="00A93525">
        <w:rPr>
          <w:szCs w:val="24"/>
        </w:rPr>
        <w:t>nếu</w:t>
      </w:r>
      <w:r w:rsidRPr="00A93525">
        <w:rPr>
          <w:szCs w:val="24"/>
        </w:rPr>
        <w:t xml:space="preserve"> Hợp đồng bảo hiểm hưu trí có hiệu lực</w:t>
      </w:r>
      <w:r w:rsidR="00E33240" w:rsidRPr="00A93525">
        <w:rPr>
          <w:szCs w:val="24"/>
        </w:rPr>
        <w:t xml:space="preserve"> và </w:t>
      </w:r>
      <w:r w:rsidR="00086647" w:rsidRPr="00A93525">
        <w:rPr>
          <w:szCs w:val="24"/>
        </w:rPr>
        <w:t xml:space="preserve">tài khoản </w:t>
      </w:r>
      <w:r w:rsidR="00E33240" w:rsidRPr="00A93525">
        <w:rPr>
          <w:szCs w:val="24"/>
        </w:rPr>
        <w:t xml:space="preserve">hưu trí chưa từng bị đóng tạm thời trong vòng 36 tháng </w:t>
      </w:r>
      <w:r w:rsidR="0000040F" w:rsidRPr="00A93525">
        <w:rPr>
          <w:szCs w:val="24"/>
        </w:rPr>
        <w:t xml:space="preserve">liền kề </w:t>
      </w:r>
      <w:r w:rsidR="00E33240" w:rsidRPr="00A93525">
        <w:rPr>
          <w:szCs w:val="24"/>
        </w:rPr>
        <w:t>trước Tuổi nghỉ hưu</w:t>
      </w:r>
      <w:r w:rsidRPr="00A93525">
        <w:rPr>
          <w:szCs w:val="24"/>
        </w:rPr>
        <w:t xml:space="preserve">, một khoản thưởng </w:t>
      </w:r>
      <w:r w:rsidR="000C5AB7" w:rsidRPr="00A93525">
        <w:rPr>
          <w:szCs w:val="24"/>
        </w:rPr>
        <w:t xml:space="preserve">bằng phần trăm của Giá trị tài khoản hưu trí trung bình trong </w:t>
      </w:r>
      <w:r w:rsidR="00D963E8" w:rsidRPr="00A93525">
        <w:rPr>
          <w:szCs w:val="24"/>
        </w:rPr>
        <w:t>60 tháng</w:t>
      </w:r>
      <w:r w:rsidR="000C5AB7" w:rsidRPr="00A93525">
        <w:rPr>
          <w:szCs w:val="24"/>
        </w:rPr>
        <w:t xml:space="preserve"> liền kề trước Tuổi nghỉ hưu </w:t>
      </w:r>
      <w:r w:rsidRPr="00A93525">
        <w:rPr>
          <w:szCs w:val="24"/>
        </w:rPr>
        <w:t xml:space="preserve">sẽ được tích lũy vào </w:t>
      </w:r>
      <w:r w:rsidR="00FA36D5" w:rsidRPr="00A93525">
        <w:rPr>
          <w:szCs w:val="24"/>
        </w:rPr>
        <w:t xml:space="preserve">Giá trị tài khoản hưu trí </w:t>
      </w:r>
      <w:r w:rsidRPr="00A93525">
        <w:rPr>
          <w:szCs w:val="24"/>
        </w:rPr>
        <w:t>như được quy định dưới đây</w:t>
      </w:r>
      <w:r w:rsidR="00AF5E62" w:rsidRPr="00A93525">
        <w:rPr>
          <w:szCs w:val="24"/>
        </w:rPr>
        <w:t>:</w:t>
      </w:r>
    </w:p>
    <w:tbl>
      <w:tblPr>
        <w:tblStyle w:val="TableGrid"/>
        <w:tblW w:w="404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tblPr>
      <w:tblGrid>
        <w:gridCol w:w="2850"/>
        <w:gridCol w:w="4887"/>
      </w:tblGrid>
      <w:tr w:rsidR="00AF5E62" w:rsidRPr="00A93525" w:rsidTr="00206FD1">
        <w:trPr>
          <w:jc w:val="center"/>
        </w:trPr>
        <w:tc>
          <w:tcPr>
            <w:tcW w:w="1842"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F5E62" w:rsidRPr="00A93525" w:rsidRDefault="00AF5E62" w:rsidP="00212C2C">
            <w:pPr>
              <w:jc w:val="center"/>
              <w:rPr>
                <w:b/>
                <w:color w:val="000000"/>
                <w:szCs w:val="24"/>
              </w:rPr>
            </w:pPr>
            <w:bookmarkStart w:id="43" w:name="OLE_LINK2"/>
            <w:r w:rsidRPr="00A93525">
              <w:rPr>
                <w:b/>
                <w:color w:val="000000"/>
                <w:szCs w:val="24"/>
              </w:rPr>
              <w:t xml:space="preserve">Thời </w:t>
            </w:r>
            <w:r w:rsidR="00713A0F" w:rsidRPr="00A93525">
              <w:rPr>
                <w:b/>
                <w:color w:val="000000"/>
                <w:szCs w:val="24"/>
              </w:rPr>
              <w:t>hạn tích lũy</w:t>
            </w:r>
            <w:r w:rsidR="00F77344" w:rsidRPr="00A93525">
              <w:rPr>
                <w:b/>
                <w:color w:val="000000"/>
                <w:szCs w:val="24"/>
              </w:rPr>
              <w:t xml:space="preserve"> </w:t>
            </w:r>
            <w:r w:rsidRPr="00A93525">
              <w:rPr>
                <w:b/>
                <w:color w:val="000000"/>
                <w:szCs w:val="24"/>
              </w:rPr>
              <w:t>(năm)</w:t>
            </w:r>
          </w:p>
        </w:tc>
        <w:tc>
          <w:tcPr>
            <w:tcW w:w="3158"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AF5E62" w:rsidRPr="00A93525" w:rsidRDefault="00AF5E62" w:rsidP="00212C2C">
            <w:pPr>
              <w:jc w:val="center"/>
              <w:rPr>
                <w:b/>
                <w:color w:val="000000"/>
                <w:szCs w:val="24"/>
              </w:rPr>
            </w:pPr>
            <w:r w:rsidRPr="00A93525">
              <w:rPr>
                <w:b/>
                <w:color w:val="000000"/>
                <w:szCs w:val="24"/>
              </w:rPr>
              <w:t xml:space="preserve">% của Giá trị tài khoản hưu trí </w:t>
            </w:r>
            <w:r w:rsidR="000C5AB7" w:rsidRPr="00A93525">
              <w:rPr>
                <w:b/>
                <w:color w:val="000000"/>
                <w:szCs w:val="24"/>
              </w:rPr>
              <w:t xml:space="preserve">trung bình </w:t>
            </w:r>
            <w:r w:rsidRPr="00A93525">
              <w:rPr>
                <w:b/>
                <w:color w:val="000000"/>
                <w:szCs w:val="24"/>
              </w:rPr>
              <w:t xml:space="preserve">trong </w:t>
            </w:r>
            <w:r w:rsidR="004541F0" w:rsidRPr="00A93525">
              <w:rPr>
                <w:b/>
                <w:color w:val="000000"/>
                <w:szCs w:val="24"/>
              </w:rPr>
              <w:t>60 tháng</w:t>
            </w:r>
            <w:r w:rsidR="000C5AB7" w:rsidRPr="00A93525">
              <w:rPr>
                <w:b/>
                <w:color w:val="000000"/>
                <w:szCs w:val="24"/>
              </w:rPr>
              <w:t xml:space="preserve"> liền kề</w:t>
            </w:r>
            <w:r w:rsidRPr="00A93525">
              <w:rPr>
                <w:b/>
                <w:color w:val="000000"/>
                <w:szCs w:val="24"/>
              </w:rPr>
              <w:t xml:space="preserve"> trước </w:t>
            </w:r>
            <w:r w:rsidR="000C5AB7" w:rsidRPr="00A93525">
              <w:rPr>
                <w:b/>
                <w:color w:val="000000"/>
                <w:szCs w:val="24"/>
              </w:rPr>
              <w:t>T</w:t>
            </w:r>
            <w:r w:rsidRPr="00A93525">
              <w:rPr>
                <w:b/>
                <w:color w:val="000000"/>
                <w:szCs w:val="24"/>
              </w:rPr>
              <w:t>uổi nghỉ hưu</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6 </w:t>
            </w:r>
            <w:r w:rsidR="00E86B96" w:rsidRPr="00A93525">
              <w:rPr>
                <w:szCs w:val="24"/>
              </w:rPr>
              <w:t>–</w:t>
            </w:r>
            <w:r w:rsidR="000C5AB7" w:rsidRPr="00A93525">
              <w:rPr>
                <w:szCs w:val="24"/>
              </w:rPr>
              <w:t xml:space="preserve"> </w:t>
            </w:r>
            <w:r w:rsidRPr="00A93525">
              <w:rPr>
                <w:szCs w:val="24"/>
              </w:rPr>
              <w:t>10</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1%</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lastRenderedPageBreak/>
              <w:t xml:space="preserve">11 </w:t>
            </w:r>
            <w:r w:rsidR="00E86B96" w:rsidRPr="00A93525">
              <w:rPr>
                <w:szCs w:val="24"/>
              </w:rPr>
              <w:t>–</w:t>
            </w:r>
            <w:r w:rsidRPr="00A93525">
              <w:rPr>
                <w:szCs w:val="24"/>
              </w:rPr>
              <w:t xml:space="preserve"> 15</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4%</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16 </w:t>
            </w:r>
            <w:r w:rsidR="00E86B96" w:rsidRPr="00A93525">
              <w:rPr>
                <w:szCs w:val="24"/>
              </w:rPr>
              <w:t>–</w:t>
            </w:r>
            <w:r w:rsidRPr="00A93525">
              <w:rPr>
                <w:szCs w:val="24"/>
              </w:rPr>
              <w:t xml:space="preserve"> 20</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5%</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21 </w:t>
            </w:r>
            <w:r w:rsidR="00E86B96" w:rsidRPr="00A93525">
              <w:rPr>
                <w:szCs w:val="24"/>
              </w:rPr>
              <w:t>–</w:t>
            </w:r>
            <w:r w:rsidRPr="00A93525">
              <w:rPr>
                <w:szCs w:val="24"/>
              </w:rPr>
              <w:t xml:space="preserve"> 25</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6%</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26 </w:t>
            </w:r>
            <w:r w:rsidR="00115880" w:rsidRPr="00A93525">
              <w:rPr>
                <w:szCs w:val="24"/>
              </w:rPr>
              <w:t xml:space="preserve">– </w:t>
            </w:r>
            <w:r w:rsidRPr="00A93525">
              <w:rPr>
                <w:szCs w:val="24"/>
              </w:rPr>
              <w:t>30</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7</w:t>
            </w:r>
            <w:r w:rsidR="00A256C0" w:rsidRPr="00A93525">
              <w:rPr>
                <w:szCs w:val="24"/>
              </w:rPr>
              <w:t>,</w:t>
            </w:r>
            <w:r w:rsidRPr="00A93525">
              <w:rPr>
                <w:szCs w:val="24"/>
              </w:rPr>
              <w:t>5%</w:t>
            </w:r>
          </w:p>
        </w:tc>
      </w:tr>
      <w:tr w:rsidR="00AF5E62" w:rsidRPr="00A93525" w:rsidTr="00206FD1">
        <w:trPr>
          <w:jc w:val="center"/>
        </w:trPr>
        <w:tc>
          <w:tcPr>
            <w:tcW w:w="1842" w:type="pct"/>
            <w:tcBorders>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31 </w:t>
            </w:r>
            <w:r w:rsidR="00E86B96" w:rsidRPr="00A93525">
              <w:rPr>
                <w:szCs w:val="24"/>
              </w:rPr>
              <w:t>–</w:t>
            </w:r>
            <w:r w:rsidRPr="00A93525">
              <w:rPr>
                <w:szCs w:val="24"/>
              </w:rPr>
              <w:t xml:space="preserve"> 35</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8</w:t>
            </w:r>
            <w:r w:rsidR="00A256C0" w:rsidRPr="00A93525">
              <w:rPr>
                <w:szCs w:val="24"/>
              </w:rPr>
              <w:t>,</w:t>
            </w:r>
            <w:r w:rsidRPr="00A93525">
              <w:rPr>
                <w:szCs w:val="24"/>
              </w:rPr>
              <w:t>5%</w:t>
            </w:r>
          </w:p>
        </w:tc>
      </w:tr>
      <w:tr w:rsidR="00AF5E62" w:rsidRPr="00A93525" w:rsidTr="00206FD1">
        <w:trPr>
          <w:jc w:val="center"/>
        </w:trPr>
        <w:tc>
          <w:tcPr>
            <w:tcW w:w="1842" w:type="pct"/>
            <w:tcBorders>
              <w:bottom w:val="single" w:sz="4" w:space="0" w:color="A6A6A6" w:themeColor="background1" w:themeShade="A6"/>
              <w:right w:val="single" w:sz="4" w:space="0" w:color="A6A6A6" w:themeColor="background1" w:themeShade="A6"/>
            </w:tcBorders>
            <w:shd w:val="clear" w:color="auto" w:fill="auto"/>
            <w:vAlign w:val="center"/>
          </w:tcPr>
          <w:p w:rsidR="00AF5E62" w:rsidRPr="00A93525" w:rsidRDefault="00AF5E62" w:rsidP="00206FD1">
            <w:pPr>
              <w:spacing w:line="276" w:lineRule="auto"/>
              <w:jc w:val="center"/>
              <w:rPr>
                <w:szCs w:val="24"/>
              </w:rPr>
            </w:pPr>
            <w:r w:rsidRPr="00A93525">
              <w:rPr>
                <w:szCs w:val="24"/>
              </w:rPr>
              <w:t xml:space="preserve">36 </w:t>
            </w:r>
            <w:r w:rsidR="00E86B96" w:rsidRPr="00A93525">
              <w:rPr>
                <w:szCs w:val="24"/>
              </w:rPr>
              <w:t>–</w:t>
            </w:r>
            <w:r w:rsidRPr="00A93525">
              <w:rPr>
                <w:szCs w:val="24"/>
              </w:rPr>
              <w:t xml:space="preserve"> 52</w:t>
            </w:r>
          </w:p>
        </w:tc>
        <w:tc>
          <w:tcPr>
            <w:tcW w:w="3158" w:type="pct"/>
            <w:tcBorders>
              <w:left w:val="single" w:sz="4" w:space="0" w:color="A6A6A6" w:themeColor="background1" w:themeShade="A6"/>
            </w:tcBorders>
            <w:shd w:val="clear" w:color="auto" w:fill="auto"/>
            <w:vAlign w:val="center"/>
          </w:tcPr>
          <w:p w:rsidR="00AF5E62" w:rsidRPr="00A93525" w:rsidRDefault="00AF5E62" w:rsidP="00206FD1">
            <w:pPr>
              <w:spacing w:line="276" w:lineRule="auto"/>
              <w:jc w:val="right"/>
              <w:rPr>
                <w:szCs w:val="24"/>
              </w:rPr>
            </w:pPr>
            <w:r w:rsidRPr="00A93525">
              <w:rPr>
                <w:szCs w:val="24"/>
              </w:rPr>
              <w:t>11%</w:t>
            </w:r>
          </w:p>
        </w:tc>
      </w:tr>
    </w:tbl>
    <w:p w:rsidR="007908FB" w:rsidRPr="00A93525" w:rsidRDefault="00E92DBE" w:rsidP="00A93525">
      <w:pPr>
        <w:pStyle w:val="Heading1"/>
        <w:keepNext w:val="0"/>
        <w:keepLines w:val="0"/>
      </w:pPr>
      <w:bookmarkStart w:id="44" w:name="_Toc496706460"/>
      <w:bookmarkStart w:id="45" w:name="_Toc496717744"/>
      <w:bookmarkStart w:id="46" w:name="_Toc498701177"/>
      <w:bookmarkEnd w:id="43"/>
      <w:r w:rsidRPr="00A93525">
        <w:t>ĐIỀU KHOẢN LOẠI TRỪ</w:t>
      </w:r>
      <w:bookmarkEnd w:id="44"/>
      <w:bookmarkEnd w:id="45"/>
      <w:bookmarkEnd w:id="46"/>
    </w:p>
    <w:p w:rsidR="001B4BF9" w:rsidRPr="00A93525" w:rsidRDefault="001B4BF9" w:rsidP="00A93525">
      <w:pPr>
        <w:pStyle w:val="Heading2"/>
        <w:keepNext w:val="0"/>
        <w:keepLines w:val="0"/>
        <w:jc w:val="both"/>
        <w:rPr>
          <w:szCs w:val="24"/>
        </w:rPr>
      </w:pPr>
      <w:bookmarkStart w:id="47" w:name="_Ref494724011"/>
      <w:bookmarkStart w:id="48" w:name="_Ref494724013"/>
      <w:bookmarkStart w:id="49" w:name="_Ref494724137"/>
      <w:bookmarkStart w:id="50" w:name="_Ref494894162"/>
      <w:bookmarkStart w:id="51" w:name="_Ref494894212"/>
      <w:r w:rsidRPr="00A93525">
        <w:rPr>
          <w:szCs w:val="24"/>
        </w:rPr>
        <w:t>Điều khoản loại trừ của Quyền lợi tử vong</w:t>
      </w:r>
      <w:bookmarkEnd w:id="47"/>
      <w:bookmarkEnd w:id="48"/>
      <w:bookmarkEnd w:id="49"/>
      <w:bookmarkEnd w:id="50"/>
      <w:bookmarkEnd w:id="51"/>
      <w:r w:rsidRPr="00A93525">
        <w:rPr>
          <w:szCs w:val="24"/>
        </w:rPr>
        <w:t xml:space="preserve"> </w:t>
      </w:r>
    </w:p>
    <w:p w:rsidR="001B4BF9" w:rsidRPr="00A93525" w:rsidRDefault="001B4BF9" w:rsidP="00212C2C">
      <w:pPr>
        <w:jc w:val="both"/>
        <w:rPr>
          <w:szCs w:val="24"/>
        </w:rPr>
      </w:pPr>
      <w:r w:rsidRPr="00A93525">
        <w:rPr>
          <w:szCs w:val="24"/>
        </w:rPr>
        <w:t xml:space="preserve">Công ty sẽ không chi trả Quyền lợi tử vong tại Điều </w:t>
      </w:r>
      <w:r w:rsidR="00396F4E" w:rsidRPr="00A93525">
        <w:rPr>
          <w:szCs w:val="24"/>
        </w:rPr>
        <w:t>5.3</w:t>
      </w:r>
      <w:r w:rsidRPr="00A93525">
        <w:rPr>
          <w:szCs w:val="24"/>
        </w:rPr>
        <w:t xml:space="preserve"> trong trường hợp Người được bảo hiểm tử vong do:</w:t>
      </w:r>
    </w:p>
    <w:p w:rsidR="001B4BF9" w:rsidRPr="00A93525" w:rsidRDefault="001B4BF9" w:rsidP="00212C2C">
      <w:pPr>
        <w:pStyle w:val="ListParagraph"/>
        <w:numPr>
          <w:ilvl w:val="0"/>
          <w:numId w:val="49"/>
        </w:numPr>
        <w:jc w:val="both"/>
        <w:rPr>
          <w:szCs w:val="24"/>
        </w:rPr>
      </w:pPr>
      <w:r w:rsidRPr="00A93525">
        <w:rPr>
          <w:szCs w:val="24"/>
        </w:rPr>
        <w:t>Hành động tự tử trong vòng 2 năm kể từ Ngày hiệu lực hợp đồng</w:t>
      </w:r>
      <w:r w:rsidR="0066730E" w:rsidRPr="00A93525">
        <w:rPr>
          <w:szCs w:val="24"/>
        </w:rPr>
        <w:t>,</w:t>
      </w:r>
      <w:r w:rsidRPr="00A93525">
        <w:rPr>
          <w:szCs w:val="24"/>
        </w:rPr>
        <w:t xml:space="preserve"> hoặc ngày khôi phục hiệu lực hợp đồng gần nhất (nếu có)</w:t>
      </w:r>
      <w:r w:rsidR="0071492D" w:rsidRPr="00A93525">
        <w:rPr>
          <w:szCs w:val="24"/>
        </w:rPr>
        <w:t xml:space="preserve">, hoặc ngày tài khoản được kích hoạt lại </w:t>
      </w:r>
      <w:r w:rsidR="001C2E20" w:rsidRPr="00A93525">
        <w:rPr>
          <w:szCs w:val="24"/>
        </w:rPr>
        <w:t>gần nhất</w:t>
      </w:r>
      <w:r w:rsidR="0071492D" w:rsidRPr="00A93525">
        <w:rPr>
          <w:szCs w:val="24"/>
        </w:rPr>
        <w:t xml:space="preserve"> (nếu có)</w:t>
      </w:r>
      <w:r w:rsidRPr="00A93525">
        <w:rPr>
          <w:szCs w:val="24"/>
        </w:rPr>
        <w:t>;</w:t>
      </w:r>
    </w:p>
    <w:p w:rsidR="001B4BF9" w:rsidRPr="00A93525" w:rsidRDefault="001B4BF9" w:rsidP="00212C2C">
      <w:pPr>
        <w:pStyle w:val="ListParagraph"/>
        <w:numPr>
          <w:ilvl w:val="0"/>
          <w:numId w:val="49"/>
        </w:numPr>
        <w:jc w:val="both"/>
        <w:rPr>
          <w:szCs w:val="24"/>
        </w:rPr>
      </w:pPr>
      <w:r w:rsidRPr="00A93525">
        <w:rPr>
          <w:szCs w:val="24"/>
        </w:rPr>
        <w:t xml:space="preserve">Do hành vi cố ý của Bên mua bảo hiểm, Người thụ hưởng đối với Người được bảo hiểm. Trong trường hợp một hoặc một số Người thụ hưởng cố ý gây ra cái chết hay thương tật vĩnh viễn cho Người được bảo hiểm, Công ty chỉ trả </w:t>
      </w:r>
      <w:r w:rsidR="00DA5C68">
        <w:rPr>
          <w:szCs w:val="24"/>
        </w:rPr>
        <w:t>quyền lợi</w:t>
      </w:r>
      <w:r w:rsidR="00DA5C68" w:rsidRPr="00A93525">
        <w:rPr>
          <w:szCs w:val="24"/>
        </w:rPr>
        <w:t xml:space="preserve"> </w:t>
      </w:r>
      <w:r w:rsidRPr="00A93525">
        <w:rPr>
          <w:szCs w:val="24"/>
        </w:rPr>
        <w:t>bảo hiểm cho những Người thụ hưởng khác tương ứng với phần thuộc về những Người thụ hưởng này;</w:t>
      </w:r>
    </w:p>
    <w:p w:rsidR="001B4BF9" w:rsidRPr="00A93525" w:rsidRDefault="001B4BF9" w:rsidP="00212C2C">
      <w:pPr>
        <w:pStyle w:val="ListParagraph"/>
        <w:numPr>
          <w:ilvl w:val="0"/>
          <w:numId w:val="49"/>
        </w:numPr>
        <w:jc w:val="both"/>
        <w:rPr>
          <w:szCs w:val="24"/>
        </w:rPr>
      </w:pPr>
      <w:r w:rsidRPr="00A93525">
        <w:rPr>
          <w:szCs w:val="24"/>
        </w:rPr>
        <w:t xml:space="preserve">Tử vong do bị thi hành án tử hình; </w:t>
      </w:r>
    </w:p>
    <w:p w:rsidR="00E33240" w:rsidRPr="00A93525" w:rsidRDefault="001B4BF9" w:rsidP="00212C2C">
      <w:pPr>
        <w:pStyle w:val="ListParagraph"/>
        <w:numPr>
          <w:ilvl w:val="0"/>
          <w:numId w:val="49"/>
        </w:numPr>
        <w:jc w:val="both"/>
        <w:rPr>
          <w:szCs w:val="24"/>
        </w:rPr>
      </w:pPr>
      <w:r w:rsidRPr="00A93525">
        <w:rPr>
          <w:szCs w:val="24"/>
        </w:rPr>
        <w:t>Hội chứng suy giảm miễn dịch mắc phải AIDS, các bệnh có liên quan đến AIDS hay do vi rút gây bệnh AIDS, ngoại trừ trường hợp nhiễm HIV trong khi đang thực hiện nhiệm vụ tại nơi làm việc như là một nhân viên y tế hoặc công an, cảnh sát</w:t>
      </w:r>
      <w:r w:rsidR="00F4507F" w:rsidRPr="00A93525">
        <w:rPr>
          <w:szCs w:val="24"/>
        </w:rPr>
        <w:t>.</w:t>
      </w:r>
    </w:p>
    <w:p w:rsidR="001B4BF9" w:rsidRPr="00A93525" w:rsidRDefault="001B4BF9" w:rsidP="00A93525">
      <w:pPr>
        <w:pStyle w:val="Heading2"/>
        <w:keepNext w:val="0"/>
        <w:keepLines w:val="0"/>
        <w:jc w:val="both"/>
        <w:rPr>
          <w:szCs w:val="24"/>
        </w:rPr>
      </w:pPr>
      <w:bookmarkStart w:id="52" w:name="_Ref493523409"/>
      <w:r w:rsidRPr="00A93525">
        <w:rPr>
          <w:szCs w:val="24"/>
        </w:rPr>
        <w:t>Điều khoản loại trừ của Quyền lợi thương tật toàn bộ vĩnh viễn</w:t>
      </w:r>
      <w:bookmarkEnd w:id="52"/>
    </w:p>
    <w:p w:rsidR="001B4BF9" w:rsidRPr="00A93525" w:rsidRDefault="001B4BF9" w:rsidP="00212C2C">
      <w:pPr>
        <w:jc w:val="both"/>
        <w:rPr>
          <w:szCs w:val="24"/>
          <w:lang w:val="vi-VN"/>
        </w:rPr>
      </w:pPr>
      <w:r w:rsidRPr="00A93525">
        <w:rPr>
          <w:szCs w:val="24"/>
        </w:rPr>
        <w:t xml:space="preserve">Công ty sẽ không chi trả Quyền lợi thương tật toàn bộ vĩnh viễn tại Điều </w:t>
      </w:r>
      <w:r w:rsidR="00396F4E" w:rsidRPr="00A93525">
        <w:rPr>
          <w:szCs w:val="24"/>
        </w:rPr>
        <w:t>5.4</w:t>
      </w:r>
      <w:r w:rsidR="0078077B" w:rsidRPr="00A93525">
        <w:rPr>
          <w:szCs w:val="24"/>
        </w:rPr>
        <w:t xml:space="preserve"> </w:t>
      </w:r>
      <w:r w:rsidRPr="00A93525">
        <w:rPr>
          <w:szCs w:val="24"/>
        </w:rPr>
        <w:t xml:space="preserve">trong trường hợp </w:t>
      </w:r>
      <w:r w:rsidRPr="00A93525">
        <w:rPr>
          <w:szCs w:val="24"/>
          <w:lang w:val="vi-VN"/>
        </w:rPr>
        <w:t>Người được bảo hiểm bị Thương tật toàn bộ vĩnh viễn do:</w:t>
      </w:r>
    </w:p>
    <w:p w:rsidR="001B4BF9" w:rsidRPr="00A93525" w:rsidRDefault="001B4BF9" w:rsidP="00212C2C">
      <w:pPr>
        <w:pStyle w:val="ListParagraph"/>
        <w:numPr>
          <w:ilvl w:val="0"/>
          <w:numId w:val="50"/>
        </w:numPr>
        <w:jc w:val="both"/>
        <w:rPr>
          <w:szCs w:val="24"/>
        </w:rPr>
      </w:pPr>
      <w:r w:rsidRPr="00A93525">
        <w:rPr>
          <w:szCs w:val="24"/>
        </w:rPr>
        <w:t>Sử dụng chất kích thích, ma túy, hoặc cố tình tự gây thương tích trong lúc tỉnh táo hay mất trí;</w:t>
      </w:r>
    </w:p>
    <w:p w:rsidR="001B4BF9" w:rsidRPr="00A93525" w:rsidRDefault="001B4BF9" w:rsidP="00212C2C">
      <w:pPr>
        <w:pStyle w:val="ListParagraph"/>
        <w:numPr>
          <w:ilvl w:val="0"/>
          <w:numId w:val="50"/>
        </w:numPr>
        <w:jc w:val="both"/>
        <w:rPr>
          <w:szCs w:val="24"/>
        </w:rPr>
      </w:pPr>
      <w:r w:rsidRPr="00A93525">
        <w:rPr>
          <w:szCs w:val="24"/>
        </w:rPr>
        <w:t>Chiến tranh hoặc các hoạt động gây chiến, bao gồm hành động xâm lược, hành động của nước thù địch, chiến tranh (tuyên chiến hay không tuyên chiến), nội chiến, nổi loạn, cách mạng, khởi nghĩa, đảo chính quân sự hoặc tiếm quyền;</w:t>
      </w:r>
    </w:p>
    <w:p w:rsidR="001B4BF9" w:rsidRPr="00A93525" w:rsidRDefault="001B4BF9" w:rsidP="00212C2C">
      <w:pPr>
        <w:pStyle w:val="ListParagraph"/>
        <w:numPr>
          <w:ilvl w:val="0"/>
          <w:numId w:val="50"/>
        </w:numPr>
        <w:jc w:val="both"/>
        <w:rPr>
          <w:szCs w:val="24"/>
        </w:rPr>
      </w:pPr>
      <w:r w:rsidRPr="00A93525">
        <w:rPr>
          <w:szCs w:val="24"/>
        </w:rPr>
        <w:t>Phục vụ cho quân đội vào thời gian chiến tranh có tuyên chiến hay không tuyên chiến, hoặc hành động theo mệnh lệnh chiến đấu hay lập lại trật tự công cộng;</w:t>
      </w:r>
    </w:p>
    <w:p w:rsidR="00F4507F" w:rsidRPr="00A93525" w:rsidRDefault="00F4507F" w:rsidP="00212C2C">
      <w:pPr>
        <w:pStyle w:val="ListParagraph"/>
        <w:numPr>
          <w:ilvl w:val="0"/>
          <w:numId w:val="50"/>
        </w:numPr>
        <w:jc w:val="both"/>
        <w:rPr>
          <w:szCs w:val="24"/>
        </w:rPr>
      </w:pPr>
      <w:r w:rsidRPr="00A93525">
        <w:rPr>
          <w:szCs w:val="24"/>
        </w:rPr>
        <w:t>Bị thương tật hoặc bị tai nạn trước Ngày hiệu lực hợp đồng</w:t>
      </w:r>
      <w:r w:rsidR="0066730E" w:rsidRPr="00A93525">
        <w:rPr>
          <w:szCs w:val="24"/>
        </w:rPr>
        <w:t>,</w:t>
      </w:r>
      <w:r w:rsidRPr="00A93525">
        <w:rPr>
          <w:szCs w:val="24"/>
        </w:rPr>
        <w:t xml:space="preserve"> hoặc ngày khôi phục hiệu lực hợp đồng gần nhất (nếu có), hoặc ngày tài khoản được kích hoạt lại gần nhất (nếu có);</w:t>
      </w:r>
    </w:p>
    <w:p w:rsidR="001B4BF9" w:rsidRPr="00A93525" w:rsidRDefault="001B4BF9" w:rsidP="00212C2C">
      <w:pPr>
        <w:pStyle w:val="ListParagraph"/>
        <w:numPr>
          <w:ilvl w:val="0"/>
          <w:numId w:val="50"/>
        </w:numPr>
        <w:jc w:val="both"/>
        <w:rPr>
          <w:szCs w:val="24"/>
        </w:rPr>
      </w:pPr>
      <w:r w:rsidRPr="00A93525">
        <w:rPr>
          <w:szCs w:val="24"/>
        </w:rPr>
        <w:lastRenderedPageBreak/>
        <w:t>Tham gia các môn thể thao nguy hiểm, kể cả với tư cách là vận động viên chuyên nghiệp, ví dụ như: lặn có bình dưỡng khí, nhảy bungee, nhảy dù, leo núi, đua ngựa hay trên các phương tiện có bánh xe;</w:t>
      </w:r>
    </w:p>
    <w:p w:rsidR="001B4BF9" w:rsidRPr="00A93525" w:rsidRDefault="001B4BF9" w:rsidP="00212C2C">
      <w:pPr>
        <w:pStyle w:val="ListParagraph"/>
        <w:numPr>
          <w:ilvl w:val="0"/>
          <w:numId w:val="50"/>
        </w:numPr>
        <w:jc w:val="both"/>
        <w:rPr>
          <w:szCs w:val="24"/>
        </w:rPr>
      </w:pPr>
      <w:r w:rsidRPr="00A93525">
        <w:rPr>
          <w:szCs w:val="24"/>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w:t>
      </w:r>
    </w:p>
    <w:p w:rsidR="001B4BF9" w:rsidRPr="00A93525" w:rsidRDefault="001B4BF9" w:rsidP="00212C2C">
      <w:pPr>
        <w:pStyle w:val="ListParagraph"/>
        <w:numPr>
          <w:ilvl w:val="0"/>
          <w:numId w:val="50"/>
        </w:numPr>
        <w:jc w:val="both"/>
        <w:rPr>
          <w:szCs w:val="24"/>
        </w:rPr>
      </w:pPr>
      <w:r w:rsidRPr="00A93525">
        <w:rPr>
          <w:szCs w:val="24"/>
        </w:rPr>
        <w:t>Điều trị nhiễm bức xạ hoặc nhiễm phóng xạ;</w:t>
      </w:r>
    </w:p>
    <w:p w:rsidR="00E33240" w:rsidRPr="00A93525" w:rsidRDefault="00F60BAF" w:rsidP="00191B99">
      <w:pPr>
        <w:pStyle w:val="ListParagraph"/>
        <w:numPr>
          <w:ilvl w:val="0"/>
          <w:numId w:val="50"/>
        </w:numPr>
        <w:jc w:val="both"/>
        <w:rPr>
          <w:b/>
          <w:szCs w:val="24"/>
        </w:rPr>
      </w:pPr>
      <w:r w:rsidRPr="00A93525">
        <w:rPr>
          <w:szCs w:val="24"/>
        </w:rPr>
        <w:t>H</w:t>
      </w:r>
      <w:r w:rsidR="001B4BF9" w:rsidRPr="00A93525">
        <w:rPr>
          <w:szCs w:val="24"/>
        </w:rPr>
        <w:t>ành vi phạm tội hoặc cố tình tham gia vào các hành vi phạm tội, hoặc hành vi vi phạm pháp luật của Người được bảo hiểm</w:t>
      </w:r>
      <w:r w:rsidR="008F1A45">
        <w:rPr>
          <w:szCs w:val="24"/>
        </w:rPr>
        <w:t xml:space="preserve"> </w:t>
      </w:r>
      <w:r w:rsidR="008F1A45" w:rsidRPr="002551D9">
        <w:rPr>
          <w:szCs w:val="24"/>
        </w:rPr>
        <w:t>bao gồm điều khiển xe vượt quá tốc độ quy định, sử dụng rượu bia có nồng độ cồn vượt quá mức quy định</w:t>
      </w:r>
      <w:r w:rsidR="00F4507F" w:rsidRPr="00A93525">
        <w:rPr>
          <w:szCs w:val="24"/>
        </w:rPr>
        <w:t>.</w:t>
      </w:r>
    </w:p>
    <w:p w:rsidR="000C2EAE" w:rsidRPr="00A93525" w:rsidRDefault="00ED5C1A" w:rsidP="00A93525">
      <w:pPr>
        <w:pStyle w:val="Heading2"/>
        <w:keepNext w:val="0"/>
        <w:keepLines w:val="0"/>
        <w:jc w:val="both"/>
        <w:rPr>
          <w:b w:val="0"/>
          <w:szCs w:val="24"/>
        </w:rPr>
      </w:pPr>
      <w:bookmarkStart w:id="53" w:name="_Toc494896391"/>
      <w:r w:rsidRPr="00A93525">
        <w:rPr>
          <w:b w:val="0"/>
          <w:szCs w:val="24"/>
        </w:rPr>
        <w:t xml:space="preserve">Khi Người được bảo hiểm tử vong trong những trường hợp quy định tại Điều </w:t>
      </w:r>
      <w:r w:rsidR="00561A5B" w:rsidRPr="00A93525">
        <w:rPr>
          <w:b w:val="0"/>
          <w:szCs w:val="24"/>
        </w:rPr>
        <w:t>6.1</w:t>
      </w:r>
      <w:r w:rsidR="00B9336D" w:rsidRPr="00A93525">
        <w:rPr>
          <w:b w:val="0"/>
          <w:szCs w:val="24"/>
        </w:rPr>
        <w:t xml:space="preserve">, </w:t>
      </w:r>
      <w:r w:rsidRPr="00A93525">
        <w:rPr>
          <w:b w:val="0"/>
          <w:szCs w:val="24"/>
        </w:rPr>
        <w:t xml:space="preserve">Công ty không chi trả quyền lợi bảo hiểm, Hợp đồng bảo hiểm </w:t>
      </w:r>
      <w:r w:rsidR="007D3625" w:rsidRPr="00A93525">
        <w:rPr>
          <w:b w:val="0"/>
          <w:szCs w:val="24"/>
        </w:rPr>
        <w:t xml:space="preserve">hưu trí </w:t>
      </w:r>
      <w:r w:rsidRPr="00A93525">
        <w:rPr>
          <w:b w:val="0"/>
          <w:szCs w:val="24"/>
        </w:rPr>
        <w:t xml:space="preserve">chấm dứt hiệu lực, Công ty phải trả giá trị lớn hơn giữa Giá trị tài khoản hưu trí </w:t>
      </w:r>
      <w:r w:rsidR="000624B9" w:rsidRPr="00A93525">
        <w:rPr>
          <w:b w:val="0"/>
          <w:szCs w:val="24"/>
        </w:rPr>
        <w:t xml:space="preserve">tại thời điểm Người được bảo hiểm tử vong </w:t>
      </w:r>
      <w:r w:rsidRPr="00A93525">
        <w:rPr>
          <w:b w:val="0"/>
          <w:szCs w:val="24"/>
        </w:rPr>
        <w:t>và Quyền lợi hỗ trợ chi phí hậu sự</w:t>
      </w:r>
      <w:r w:rsidRPr="00A93525">
        <w:rPr>
          <w:rFonts w:eastAsia="Times New Roman"/>
          <w:b w:val="0"/>
          <w:szCs w:val="24"/>
        </w:rPr>
        <w:t>.</w:t>
      </w:r>
      <w:bookmarkEnd w:id="53"/>
      <w:r w:rsidRPr="00A93525">
        <w:rPr>
          <w:b w:val="0"/>
          <w:szCs w:val="24"/>
        </w:rPr>
        <w:t xml:space="preserve"> </w:t>
      </w:r>
    </w:p>
    <w:p w:rsidR="00D37F98" w:rsidRPr="00A93525" w:rsidRDefault="003E512F" w:rsidP="00212C2C">
      <w:pPr>
        <w:pStyle w:val="NormalIndent"/>
        <w:snapToGrid w:val="0"/>
        <w:spacing w:after="240"/>
        <w:ind w:left="720" w:right="-29"/>
        <w:jc w:val="both"/>
        <w:rPr>
          <w:sz w:val="24"/>
          <w:szCs w:val="24"/>
        </w:rPr>
      </w:pPr>
      <w:r w:rsidRPr="00A93525">
        <w:rPr>
          <w:rFonts w:ascii="Times New Roman" w:eastAsiaTheme="majorEastAsia" w:hAnsi="Times New Roman" w:cstheme="majorBidi"/>
          <w:sz w:val="24"/>
          <w:szCs w:val="24"/>
          <w:lang w:eastAsia="en-US"/>
        </w:rPr>
        <w:t xml:space="preserve">Khi Người được bảo hiểm bị Thương tật toàn bộ vĩnh viễn trong những trường hợp quy định tại Điều </w:t>
      </w:r>
      <w:r w:rsidR="00883F87" w:rsidRPr="00A93525">
        <w:rPr>
          <w:rFonts w:ascii="Times New Roman" w:eastAsiaTheme="majorEastAsia" w:hAnsi="Times New Roman" w:cstheme="majorBidi"/>
          <w:sz w:val="24"/>
          <w:szCs w:val="24"/>
          <w:lang w:eastAsia="en-US"/>
        </w:rPr>
        <w:t>6</w:t>
      </w:r>
      <w:r w:rsidRPr="00A93525">
        <w:rPr>
          <w:rFonts w:ascii="Times New Roman" w:eastAsiaTheme="majorEastAsia" w:hAnsi="Times New Roman" w:cstheme="majorBidi"/>
          <w:sz w:val="24"/>
          <w:szCs w:val="24"/>
          <w:lang w:eastAsia="en-US"/>
        </w:rPr>
        <w:t xml:space="preserve">.2, </w:t>
      </w:r>
      <w:r w:rsidRPr="00A93525">
        <w:rPr>
          <w:rFonts w:ascii="Times New Roman" w:hAnsi="Times New Roman" w:cstheme="majorBidi"/>
          <w:sz w:val="24"/>
          <w:szCs w:val="24"/>
        </w:rPr>
        <w:t xml:space="preserve">Hợp đồng bảo hiểm </w:t>
      </w:r>
      <w:r w:rsidR="007D3625" w:rsidRPr="00A93525">
        <w:rPr>
          <w:rFonts w:ascii="Times New Roman" w:hAnsi="Times New Roman" w:cstheme="majorBidi"/>
          <w:sz w:val="24"/>
          <w:szCs w:val="24"/>
        </w:rPr>
        <w:t xml:space="preserve">hưu trí </w:t>
      </w:r>
      <w:r w:rsidR="004708F0" w:rsidRPr="00A93525">
        <w:rPr>
          <w:rFonts w:ascii="Times New Roman" w:hAnsi="Times New Roman" w:cstheme="majorBidi"/>
          <w:sz w:val="24"/>
          <w:szCs w:val="24"/>
        </w:rPr>
        <w:t>chấm dứt hiệu lực, Công ty phải trả Giá trị tài khoản hưu trí</w:t>
      </w:r>
      <w:r w:rsidR="000624B9" w:rsidRPr="00A93525">
        <w:rPr>
          <w:rFonts w:ascii="Times New Roman" w:hAnsi="Times New Roman" w:cstheme="majorBidi"/>
          <w:sz w:val="24"/>
          <w:szCs w:val="24"/>
        </w:rPr>
        <w:t xml:space="preserve"> tại thời điểm Người được bảo hiểm bị Thương tật toàn bộ vĩnh viễn</w:t>
      </w:r>
      <w:r w:rsidRPr="00A93525">
        <w:rPr>
          <w:rFonts w:ascii="Times New Roman" w:hAnsi="Times New Roman" w:cstheme="majorBidi"/>
          <w:sz w:val="24"/>
          <w:szCs w:val="24"/>
        </w:rPr>
        <w:t>.</w:t>
      </w:r>
    </w:p>
    <w:p w:rsidR="007908FB" w:rsidRPr="00A93525" w:rsidRDefault="00E92DBE" w:rsidP="00A93525">
      <w:pPr>
        <w:pStyle w:val="Heading1"/>
        <w:keepNext w:val="0"/>
        <w:keepLines w:val="0"/>
        <w:spacing w:before="0"/>
        <w:jc w:val="both"/>
        <w:rPr>
          <w:szCs w:val="24"/>
        </w:rPr>
      </w:pPr>
      <w:bookmarkStart w:id="54" w:name="_Ref493576459"/>
      <w:bookmarkStart w:id="55" w:name="_Ref494724322"/>
      <w:bookmarkStart w:id="56" w:name="_Ref494724324"/>
      <w:bookmarkStart w:id="57" w:name="_Toc496706461"/>
      <w:bookmarkStart w:id="58" w:name="_Toc496717745"/>
      <w:bookmarkStart w:id="59" w:name="_Toc498701178"/>
      <w:r w:rsidRPr="00A93525">
        <w:rPr>
          <w:caps w:val="0"/>
          <w:szCs w:val="24"/>
        </w:rPr>
        <w:t>RÚT T</w:t>
      </w:r>
      <w:r w:rsidR="00ED5C1A" w:rsidRPr="00A93525">
        <w:rPr>
          <w:caps w:val="0"/>
          <w:szCs w:val="24"/>
        </w:rPr>
        <w:t>IỀN T</w:t>
      </w:r>
      <w:r w:rsidRPr="00A93525">
        <w:rPr>
          <w:caps w:val="0"/>
          <w:szCs w:val="24"/>
        </w:rPr>
        <w:t xml:space="preserve">Ừ GIÁ TRỊ </w:t>
      </w:r>
      <w:bookmarkEnd w:id="54"/>
      <w:r w:rsidRPr="00A93525">
        <w:rPr>
          <w:caps w:val="0"/>
          <w:szCs w:val="24"/>
        </w:rPr>
        <w:t>TÀI KHOẢN HƯU TRÍ</w:t>
      </w:r>
      <w:bookmarkEnd w:id="55"/>
      <w:bookmarkEnd w:id="56"/>
      <w:bookmarkEnd w:id="57"/>
      <w:bookmarkEnd w:id="58"/>
      <w:bookmarkEnd w:id="59"/>
    </w:p>
    <w:p w:rsidR="00BF087A" w:rsidRPr="00A93525" w:rsidRDefault="00BF087A" w:rsidP="00212C2C">
      <w:pPr>
        <w:jc w:val="both"/>
        <w:rPr>
          <w:szCs w:val="24"/>
        </w:rPr>
      </w:pPr>
      <w:r w:rsidRPr="00A93525">
        <w:rPr>
          <w:szCs w:val="24"/>
        </w:rPr>
        <w:t>Người được bảo hiểm chỉ được rút trước một phần hoặc toàn bộ Giá trị</w:t>
      </w:r>
      <w:r w:rsidR="00D6549C" w:rsidRPr="00A93525">
        <w:rPr>
          <w:szCs w:val="24"/>
        </w:rPr>
        <w:t xml:space="preserve"> </w:t>
      </w:r>
      <w:r w:rsidR="00BF2847" w:rsidRPr="00A93525">
        <w:rPr>
          <w:szCs w:val="24"/>
        </w:rPr>
        <w:t>tài khoản hưu trí</w:t>
      </w:r>
      <w:r w:rsidRPr="00A93525">
        <w:rPr>
          <w:szCs w:val="24"/>
        </w:rPr>
        <w:t xml:space="preserve"> trong các trường hợp sau đây:</w:t>
      </w:r>
    </w:p>
    <w:p w:rsidR="00026A91" w:rsidRPr="00A93525" w:rsidRDefault="00026A91" w:rsidP="00212C2C">
      <w:pPr>
        <w:pStyle w:val="ListParagraph"/>
        <w:numPr>
          <w:ilvl w:val="0"/>
          <w:numId w:val="63"/>
        </w:numPr>
        <w:jc w:val="both"/>
        <w:rPr>
          <w:szCs w:val="24"/>
        </w:rPr>
      </w:pPr>
      <w:r w:rsidRPr="00A93525">
        <w:rPr>
          <w:szCs w:val="24"/>
        </w:rPr>
        <w:t>Người được bảo hiểm bị suy giảm khả năng lao động 61% trở lên theo quy định của pháp luật hiện hành;</w:t>
      </w:r>
      <w:r w:rsidR="00FB6C42" w:rsidRPr="00A93525">
        <w:rPr>
          <w:szCs w:val="24"/>
        </w:rPr>
        <w:t xml:space="preserve"> hoặc</w:t>
      </w:r>
    </w:p>
    <w:p w:rsidR="00026A91" w:rsidRPr="00A93525" w:rsidRDefault="00026A91" w:rsidP="00212C2C">
      <w:pPr>
        <w:pStyle w:val="ListParagraph"/>
        <w:numPr>
          <w:ilvl w:val="0"/>
          <w:numId w:val="10"/>
        </w:numPr>
        <w:jc w:val="both"/>
        <w:rPr>
          <w:szCs w:val="24"/>
        </w:rPr>
      </w:pPr>
      <w:r w:rsidRPr="00A93525">
        <w:rPr>
          <w:szCs w:val="24"/>
        </w:rPr>
        <w:t>Người được bảo hiểm mắc bệnh hiểm nghèo theo quy định của pháp luật</w:t>
      </w:r>
      <w:r w:rsidR="00FB6C42" w:rsidRPr="00A93525">
        <w:rPr>
          <w:szCs w:val="24"/>
        </w:rPr>
        <w:t>; hoặc</w:t>
      </w:r>
    </w:p>
    <w:p w:rsidR="00BF087A" w:rsidRPr="00A93525" w:rsidRDefault="00BF087A" w:rsidP="00212C2C">
      <w:pPr>
        <w:pStyle w:val="ListParagraph"/>
        <w:numPr>
          <w:ilvl w:val="0"/>
          <w:numId w:val="10"/>
        </w:numPr>
        <w:jc w:val="both"/>
        <w:rPr>
          <w:szCs w:val="24"/>
        </w:rPr>
      </w:pPr>
      <w:r w:rsidRPr="00A93525">
        <w:rPr>
          <w:szCs w:val="24"/>
        </w:rPr>
        <w:t>Người được bảo hiểm là công dân Việt Nam được cơ quan có thẩm quyền cho phép định cư hợp pháp tại nước ngoài.</w:t>
      </w:r>
    </w:p>
    <w:p w:rsidR="00BF087A" w:rsidRPr="00A93525" w:rsidRDefault="00BF087A" w:rsidP="00212C2C">
      <w:pPr>
        <w:jc w:val="both"/>
        <w:rPr>
          <w:szCs w:val="24"/>
          <w:lang w:val="vi-VN"/>
        </w:rPr>
      </w:pPr>
      <w:r w:rsidRPr="00A93525">
        <w:rPr>
          <w:szCs w:val="24"/>
          <w:lang w:val="vi-VN"/>
        </w:rPr>
        <w:t xml:space="preserve">Việc rút </w:t>
      </w:r>
      <w:r w:rsidR="00883F87" w:rsidRPr="00A93525">
        <w:rPr>
          <w:szCs w:val="24"/>
        </w:rPr>
        <w:t xml:space="preserve">trước một phần Giá trị </w:t>
      </w:r>
      <w:r w:rsidRPr="00A93525">
        <w:rPr>
          <w:szCs w:val="24"/>
          <w:lang w:val="vi-VN"/>
        </w:rPr>
        <w:t xml:space="preserve">tài khoản </w:t>
      </w:r>
      <w:r w:rsidR="00883F87" w:rsidRPr="00A93525">
        <w:rPr>
          <w:szCs w:val="24"/>
        </w:rPr>
        <w:t xml:space="preserve">hưu trí </w:t>
      </w:r>
      <w:r w:rsidRPr="00A93525">
        <w:rPr>
          <w:szCs w:val="24"/>
          <w:lang w:val="vi-VN"/>
        </w:rPr>
        <w:t>có thể làm thay đổi Số tiền bảo hiểm nếu Giá trị tài khoản hưu trí sau khi rút tiền thấp hơn Số tiền bảo hiểm trước khi rút.</w:t>
      </w:r>
    </w:p>
    <w:p w:rsidR="00BF087A" w:rsidRPr="00A93525" w:rsidRDefault="00701135" w:rsidP="00212C2C">
      <w:pPr>
        <w:jc w:val="both"/>
        <w:rPr>
          <w:b/>
          <w:szCs w:val="24"/>
        </w:rPr>
      </w:pPr>
      <w:r w:rsidRPr="00A93525">
        <w:rPr>
          <w:szCs w:val="24"/>
        </w:rPr>
        <w:t xml:space="preserve">Hợp đồng bảo hiểm hưu trí </w:t>
      </w:r>
      <w:r w:rsidR="00BF087A" w:rsidRPr="00A93525">
        <w:rPr>
          <w:szCs w:val="24"/>
        </w:rPr>
        <w:t xml:space="preserve">chấm dứt </w:t>
      </w:r>
      <w:r w:rsidR="00ED5C1A" w:rsidRPr="00A93525">
        <w:rPr>
          <w:szCs w:val="24"/>
        </w:rPr>
        <w:t xml:space="preserve">hiệu lực </w:t>
      </w:r>
      <w:r w:rsidR="00BF087A" w:rsidRPr="00A93525">
        <w:rPr>
          <w:szCs w:val="24"/>
        </w:rPr>
        <w:t>ngay sau khi Người được bảo hiểm rút toàn bộ Giá trị tài khoản hưu trí.</w:t>
      </w:r>
    </w:p>
    <w:p w:rsidR="007908FB" w:rsidRPr="00A93525" w:rsidRDefault="00E92DBE" w:rsidP="00A93525">
      <w:pPr>
        <w:pStyle w:val="Heading1"/>
        <w:keepNext w:val="0"/>
        <w:keepLines w:val="0"/>
        <w:spacing w:before="0"/>
        <w:jc w:val="both"/>
        <w:rPr>
          <w:szCs w:val="24"/>
        </w:rPr>
      </w:pPr>
      <w:bookmarkStart w:id="60" w:name="_Toc496706462"/>
      <w:bookmarkStart w:id="61" w:name="_Toc496717746"/>
      <w:bookmarkStart w:id="62" w:name="_Toc498701179"/>
      <w:r w:rsidRPr="00A93525">
        <w:rPr>
          <w:caps w:val="0"/>
          <w:szCs w:val="24"/>
        </w:rPr>
        <w:t>MIỄN TRUY XÉT</w:t>
      </w:r>
      <w:bookmarkEnd w:id="60"/>
      <w:bookmarkEnd w:id="61"/>
      <w:bookmarkEnd w:id="62"/>
    </w:p>
    <w:p w:rsidR="00F331B3" w:rsidRPr="00A93525" w:rsidRDefault="00F331B3" w:rsidP="00212C2C">
      <w:pPr>
        <w:jc w:val="both"/>
        <w:rPr>
          <w:szCs w:val="24"/>
        </w:rPr>
      </w:pPr>
      <w:r w:rsidRPr="00A93525">
        <w:rPr>
          <w:szCs w:val="24"/>
        </w:rPr>
        <w:t xml:space="preserve">Khi Người được bảo hiểm còn sống, các nội dung kê khai không chính xác hoặc bỏ sót trong </w:t>
      </w:r>
      <w:r w:rsidR="00CF0D87" w:rsidRPr="00A93525">
        <w:rPr>
          <w:szCs w:val="24"/>
        </w:rPr>
        <w:t>Hồ sơ đăng ký tham gia kế hoạch hưu trí</w:t>
      </w:r>
      <w:r w:rsidRPr="00A93525">
        <w:rPr>
          <w:szCs w:val="24"/>
        </w:rPr>
        <w:t xml:space="preserve"> và các giấy tờ có liên quan sẽ được Công ty miễn truy xét sau 24 tháng kể từ Ngày hiệu lực hợp đồng</w:t>
      </w:r>
      <w:r w:rsidR="00F60BAF" w:rsidRPr="00A93525">
        <w:rPr>
          <w:szCs w:val="24"/>
        </w:rPr>
        <w:t>,</w:t>
      </w:r>
      <w:r w:rsidRPr="00A93525">
        <w:rPr>
          <w:szCs w:val="24"/>
        </w:rPr>
        <w:t xml:space="preserve"> hoặc kể từ ngày khôi phục hiệu lực hợp đồng gần nhất</w:t>
      </w:r>
      <w:r w:rsidR="0071492D" w:rsidRPr="00A93525">
        <w:rPr>
          <w:szCs w:val="24"/>
        </w:rPr>
        <w:t xml:space="preserve"> hoặc kể từ ngày tài khoản được kích hoạt lại gần nhất</w:t>
      </w:r>
      <w:r w:rsidRPr="00A93525">
        <w:rPr>
          <w:szCs w:val="24"/>
        </w:rPr>
        <w:t>.</w:t>
      </w:r>
    </w:p>
    <w:p w:rsidR="00F331B3" w:rsidRPr="00A93525" w:rsidRDefault="00F331B3" w:rsidP="00212C2C">
      <w:pPr>
        <w:jc w:val="both"/>
        <w:rPr>
          <w:szCs w:val="24"/>
        </w:rPr>
      </w:pPr>
      <w:r w:rsidRPr="00A93525">
        <w:rPr>
          <w:szCs w:val="24"/>
        </w:rPr>
        <w:t xml:space="preserve">Quy định trên sẽ không được áp dụng trong trường hợp Bên mua bảo hiểm </w:t>
      </w:r>
      <w:r w:rsidR="000553D5" w:rsidRPr="00A93525">
        <w:rPr>
          <w:szCs w:val="24"/>
        </w:rPr>
        <w:t xml:space="preserve">và/hoặc Người được bảo hiểm </w:t>
      </w:r>
      <w:r w:rsidRPr="00A93525">
        <w:rPr>
          <w:szCs w:val="24"/>
        </w:rPr>
        <w:t xml:space="preserve">đã cố ý kê khai không trung thực những thông tin mà nếu biết được những thông tin đó, Công ty sẽ từ chối chấp thuận bảo hiểm hoặc chỉ chấp thuận bảo hiểm có điều kiện. </w:t>
      </w:r>
    </w:p>
    <w:p w:rsidR="007908FB" w:rsidRPr="00A93525" w:rsidRDefault="00E92DBE" w:rsidP="00A93525">
      <w:pPr>
        <w:pStyle w:val="Heading1"/>
        <w:keepNext w:val="0"/>
        <w:keepLines w:val="0"/>
        <w:spacing w:before="0"/>
        <w:jc w:val="both"/>
        <w:rPr>
          <w:szCs w:val="24"/>
        </w:rPr>
      </w:pPr>
      <w:bookmarkStart w:id="63" w:name="_Ref493523222"/>
      <w:bookmarkStart w:id="64" w:name="_Toc496706463"/>
      <w:bookmarkStart w:id="65" w:name="_Toc496717747"/>
      <w:bookmarkStart w:id="66" w:name="_Toc498701180"/>
      <w:r w:rsidRPr="00A93525">
        <w:rPr>
          <w:caps w:val="0"/>
          <w:szCs w:val="24"/>
        </w:rPr>
        <w:lastRenderedPageBreak/>
        <w:t>CHUYỂN TÀI KHOẢN BẢO HIỂM HƯU TRÍ</w:t>
      </w:r>
      <w:bookmarkEnd w:id="63"/>
      <w:bookmarkEnd w:id="64"/>
      <w:bookmarkEnd w:id="65"/>
      <w:bookmarkEnd w:id="66"/>
    </w:p>
    <w:p w:rsidR="00F331B3" w:rsidRPr="00A93525" w:rsidRDefault="00F331B3" w:rsidP="00212C2C">
      <w:pPr>
        <w:jc w:val="both"/>
        <w:rPr>
          <w:szCs w:val="24"/>
        </w:rPr>
      </w:pPr>
      <w:r w:rsidRPr="00A93525">
        <w:rPr>
          <w:szCs w:val="24"/>
        </w:rPr>
        <w:t xml:space="preserve">Khi </w:t>
      </w:r>
      <w:r w:rsidR="000553D5" w:rsidRPr="00A93525">
        <w:rPr>
          <w:szCs w:val="24"/>
        </w:rPr>
        <w:t>N</w:t>
      </w:r>
      <w:r w:rsidRPr="00A93525">
        <w:rPr>
          <w:szCs w:val="24"/>
        </w:rPr>
        <w:t xml:space="preserve">gười được bảo hiểm </w:t>
      </w:r>
      <w:r w:rsidR="000553D5" w:rsidRPr="00A93525">
        <w:rPr>
          <w:szCs w:val="24"/>
        </w:rPr>
        <w:t xml:space="preserve">không còn mối quan hệ lao động với Bên mua bảo hiểm </w:t>
      </w:r>
      <w:r w:rsidR="003537F8" w:rsidRPr="00A93525">
        <w:rPr>
          <w:szCs w:val="24"/>
        </w:rPr>
        <w:t>trên cơ sở H</w:t>
      </w:r>
      <w:r w:rsidRPr="00A93525">
        <w:rPr>
          <w:szCs w:val="24"/>
        </w:rPr>
        <w:t>ợp</w:t>
      </w:r>
      <w:r w:rsidRPr="00A93525">
        <w:rPr>
          <w:szCs w:val="24"/>
          <w:lang w:val="vi-VN"/>
        </w:rPr>
        <w:t xml:space="preserve"> đồng lao động, </w:t>
      </w:r>
      <w:r w:rsidR="003537F8" w:rsidRPr="00A93525">
        <w:rPr>
          <w:szCs w:val="24"/>
        </w:rPr>
        <w:t>N</w:t>
      </w:r>
      <w:r w:rsidRPr="00A93525">
        <w:rPr>
          <w:szCs w:val="24"/>
          <w:lang w:val="vi-VN"/>
        </w:rPr>
        <w:t xml:space="preserve">gười được bảo hiểm có </w:t>
      </w:r>
      <w:r w:rsidR="003537F8" w:rsidRPr="00A93525">
        <w:rPr>
          <w:szCs w:val="24"/>
        </w:rPr>
        <w:t>thể</w:t>
      </w:r>
      <w:r w:rsidRPr="00A93525">
        <w:rPr>
          <w:szCs w:val="24"/>
          <w:lang w:val="vi-VN"/>
        </w:rPr>
        <w:t>:</w:t>
      </w:r>
    </w:p>
    <w:p w:rsidR="00F331B3" w:rsidRPr="00A93525" w:rsidRDefault="003537F8" w:rsidP="00212C2C">
      <w:pPr>
        <w:pStyle w:val="NormalWeb"/>
        <w:numPr>
          <w:ilvl w:val="0"/>
          <w:numId w:val="13"/>
        </w:numPr>
        <w:spacing w:before="120" w:beforeAutospacing="0"/>
        <w:jc w:val="both"/>
      </w:pPr>
      <w:r w:rsidRPr="00A93525">
        <w:t>c</w:t>
      </w:r>
      <w:r w:rsidR="00F331B3" w:rsidRPr="00A93525">
        <w:rPr>
          <w:lang w:val="vi-VN"/>
        </w:rPr>
        <w:t xml:space="preserve">huyển </w:t>
      </w:r>
      <w:r w:rsidR="001819FF" w:rsidRPr="00A93525">
        <w:t>G</w:t>
      </w:r>
      <w:r w:rsidR="00F331B3" w:rsidRPr="00A93525">
        <w:rPr>
          <w:lang w:val="vi-VN"/>
        </w:rPr>
        <w:t xml:space="preserve">iá trị tài khoản hưu trí </w:t>
      </w:r>
      <w:r w:rsidRPr="00A93525">
        <w:t>thành</w:t>
      </w:r>
      <w:r w:rsidR="00D32EEB" w:rsidRPr="00A93525">
        <w:t xml:space="preserve"> </w:t>
      </w:r>
      <w:r w:rsidRPr="00A93525">
        <w:t>h</w:t>
      </w:r>
      <w:r w:rsidR="00701135" w:rsidRPr="00A93525">
        <w:rPr>
          <w:lang w:val="vi-VN"/>
        </w:rPr>
        <w:t xml:space="preserve">ợp đồng bảo hiểm </w:t>
      </w:r>
      <w:r w:rsidR="00F331B3" w:rsidRPr="00A93525">
        <w:rPr>
          <w:lang w:val="vi-VN"/>
        </w:rPr>
        <w:t>hưu trí cá nhân</w:t>
      </w:r>
      <w:r w:rsidRPr="00A93525">
        <w:t xml:space="preserve"> do Công ty quản lý và trở thành Bên mua bảo hiểm đối</w:t>
      </w:r>
      <w:r w:rsidR="00F331B3" w:rsidRPr="00A93525">
        <w:rPr>
          <w:lang w:val="vi-VN"/>
        </w:rPr>
        <w:t xml:space="preserve"> với </w:t>
      </w:r>
      <w:r w:rsidRPr="00A93525">
        <w:t xml:space="preserve">hợp đồng </w:t>
      </w:r>
      <w:r w:rsidR="00D32EEB" w:rsidRPr="00A93525">
        <w:t xml:space="preserve">bảo hiểm </w:t>
      </w:r>
      <w:r w:rsidRPr="00A93525">
        <w:t>hưu trí cá nhân này</w:t>
      </w:r>
      <w:r w:rsidR="00E044E8" w:rsidRPr="00A93525">
        <w:t>;</w:t>
      </w:r>
      <w:r w:rsidR="00F331B3" w:rsidRPr="00A93525">
        <w:rPr>
          <w:lang w:val="vi-VN"/>
        </w:rPr>
        <w:t xml:space="preserve"> hoặc</w:t>
      </w:r>
    </w:p>
    <w:p w:rsidR="00F331B3" w:rsidRPr="00A93525" w:rsidRDefault="003537F8" w:rsidP="00212C2C">
      <w:pPr>
        <w:pStyle w:val="NormalWeb"/>
        <w:numPr>
          <w:ilvl w:val="0"/>
          <w:numId w:val="13"/>
        </w:numPr>
        <w:spacing w:before="120" w:beforeAutospacing="0"/>
        <w:jc w:val="both"/>
      </w:pPr>
      <w:r w:rsidRPr="00A93525">
        <w:t>c</w:t>
      </w:r>
      <w:r w:rsidR="00F331B3" w:rsidRPr="00A93525">
        <w:rPr>
          <w:lang w:val="vi-VN"/>
        </w:rPr>
        <w:t xml:space="preserve">huyển </w:t>
      </w:r>
      <w:r w:rsidR="001819FF" w:rsidRPr="00A93525">
        <w:t xml:space="preserve">Giá trị </w:t>
      </w:r>
      <w:r w:rsidR="00F331B3" w:rsidRPr="00A93525">
        <w:rPr>
          <w:lang w:val="vi-VN"/>
        </w:rPr>
        <w:t xml:space="preserve">tài khoản hưu trí sang </w:t>
      </w:r>
      <w:r w:rsidR="00701135" w:rsidRPr="00A93525">
        <w:rPr>
          <w:lang w:val="vi-VN"/>
        </w:rPr>
        <w:t xml:space="preserve">Hợp đồng bảo hiểm </w:t>
      </w:r>
      <w:r w:rsidR="00F331B3" w:rsidRPr="00A93525">
        <w:rPr>
          <w:lang w:val="vi-VN"/>
        </w:rPr>
        <w:t xml:space="preserve">hưu trí nhóm </w:t>
      </w:r>
      <w:r w:rsidRPr="00A93525">
        <w:t xml:space="preserve">khác bao gồm Hợp đồng </w:t>
      </w:r>
      <w:r w:rsidR="00D32EEB" w:rsidRPr="00A93525">
        <w:t xml:space="preserve">bảo hiểm </w:t>
      </w:r>
      <w:r w:rsidRPr="00A93525">
        <w:t xml:space="preserve">hưu trí do Công ty hoặc do </w:t>
      </w:r>
      <w:r w:rsidR="00F331B3" w:rsidRPr="00A93525">
        <w:rPr>
          <w:lang w:val="vi-VN"/>
        </w:rPr>
        <w:t>doanh nghiệp bảo hiểm khác</w:t>
      </w:r>
      <w:r w:rsidR="001819FF" w:rsidRPr="00A93525">
        <w:t xml:space="preserve"> quản lý</w:t>
      </w:r>
      <w:r w:rsidR="00F331B3" w:rsidRPr="00A93525">
        <w:rPr>
          <w:lang w:val="vi-VN"/>
        </w:rPr>
        <w:t xml:space="preserve">, tùy thuộc </w:t>
      </w:r>
      <w:r w:rsidR="001819FF" w:rsidRPr="00A93525">
        <w:t>vào Hợp đồng lao động với Bên mua bảo hiểm mới</w:t>
      </w:r>
      <w:r w:rsidR="00F331B3" w:rsidRPr="00A93525">
        <w:rPr>
          <w:lang w:val="vi-VN"/>
        </w:rPr>
        <w:t>.</w:t>
      </w:r>
      <w:r w:rsidR="001819FF" w:rsidRPr="00A93525">
        <w:t xml:space="preserve"> Trong trường hợp chuyển Giá trị tài khoản hưu trí sang doanh nghiệp bảo hiểm khác, Phí chuyển tài khoản sẽ được áp dụng theo quy định tại Điều</w:t>
      </w:r>
      <w:r w:rsidR="00396F4E" w:rsidRPr="00A93525">
        <w:t xml:space="preserve"> 4.5</w:t>
      </w:r>
      <w:r w:rsidR="001819FF" w:rsidRPr="00A93525">
        <w:t>.</w:t>
      </w:r>
    </w:p>
    <w:p w:rsidR="00F331B3" w:rsidRPr="00A93525" w:rsidRDefault="00F331B3" w:rsidP="00212C2C">
      <w:pPr>
        <w:pStyle w:val="NormalWeb"/>
        <w:spacing w:before="120" w:beforeAutospacing="0"/>
        <w:ind w:left="720" w:hanging="720"/>
        <w:jc w:val="both"/>
      </w:pPr>
      <w:r w:rsidRPr="00A93525">
        <w:rPr>
          <w:lang w:val="vi-VN"/>
        </w:rPr>
        <w:t xml:space="preserve">Giá trị tài khoản hưu trí được chuyển </w:t>
      </w:r>
      <w:r w:rsidR="001819FF" w:rsidRPr="00A93525">
        <w:t xml:space="preserve">tùy thuộc vào </w:t>
      </w:r>
      <w:r w:rsidR="00FC5CA0" w:rsidRPr="00A93525">
        <w:t xml:space="preserve">Tỷ lệ hưởng Giá trị tài khoản hưu trí. </w:t>
      </w:r>
    </w:p>
    <w:p w:rsidR="00FC5CA0" w:rsidRPr="00A93525" w:rsidRDefault="00FC5CA0" w:rsidP="00212C2C">
      <w:pPr>
        <w:pStyle w:val="NormalWeb"/>
        <w:spacing w:before="120" w:beforeAutospacing="0"/>
        <w:jc w:val="both"/>
      </w:pPr>
      <w:r w:rsidRPr="00A93525">
        <w:t xml:space="preserve">Đối với hợp đồng </w:t>
      </w:r>
      <w:r w:rsidR="00D32EEB" w:rsidRPr="00A93525">
        <w:t xml:space="preserve">bảo hiểm </w:t>
      </w:r>
      <w:r w:rsidRPr="00A93525">
        <w:t xml:space="preserve">hưu trí cá nhân, Bên mua bảo hiểm có thể chuyển Giá trị tài khoản hưu trí sang Hợp đồng </w:t>
      </w:r>
      <w:r w:rsidR="00D32EEB" w:rsidRPr="00A93525">
        <w:t xml:space="preserve">bảo hiểm </w:t>
      </w:r>
      <w:r w:rsidRPr="00A93525">
        <w:t>hưu trí nhóm do Công ty hoặc do doanh nghiệp bảo hiểm khác quản lý, tùy vào Hợp đồng lao động với Bên mua bảo hiểm mới. Trong trường hợp chuyển Giá trị tài khoản hưu trí sang doanh nghiệp bảo hiểm khác, Phí chuyển tài khoản sẽ được áp dụng theo quy định tại Điều</w:t>
      </w:r>
      <w:r w:rsidR="00396F4E" w:rsidRPr="00A93525">
        <w:t xml:space="preserve"> 4.5</w:t>
      </w:r>
      <w:r w:rsidRPr="00A93525">
        <w:t>.</w:t>
      </w:r>
    </w:p>
    <w:p w:rsidR="00F331B3" w:rsidRPr="00A93525" w:rsidRDefault="00FC5CA0" w:rsidP="00212C2C">
      <w:pPr>
        <w:pStyle w:val="NormalWeb"/>
        <w:spacing w:before="120" w:beforeAutospacing="0"/>
        <w:jc w:val="both"/>
      </w:pPr>
      <w:r w:rsidRPr="00A93525">
        <w:t xml:space="preserve">Trong trường hợp chuyển Giá trị tài khoản hưu trí sang hợp đồng </w:t>
      </w:r>
      <w:r w:rsidR="00D32EEB" w:rsidRPr="00A93525">
        <w:t xml:space="preserve">bảo hiểm </w:t>
      </w:r>
      <w:r w:rsidRPr="00A93525">
        <w:t>hưu trí cá nhân, mọi điều kiện, điều khoản quy định tại Quy tắc và Điều khoản sản phẩm này vẫn được áp dụng</w:t>
      </w:r>
      <w:r w:rsidR="00F331B3" w:rsidRPr="00A93525">
        <w:rPr>
          <w:lang w:val="vi-VN"/>
        </w:rPr>
        <w:t xml:space="preserve">. </w:t>
      </w:r>
      <w:r w:rsidR="002F1FA3" w:rsidRPr="00A93525">
        <w:t xml:space="preserve">Trong trường hợp chuyển Giá trị tài khoản hưu trí sang Hợp đồng bảo hiểm hưu trí nhóm khác do Công ty quản lý, </w:t>
      </w:r>
      <w:r w:rsidR="0092579B" w:rsidRPr="00A93525">
        <w:t xml:space="preserve">Giá trị tài khoản hưu trí được chuyển </w:t>
      </w:r>
      <w:r w:rsidR="00347071" w:rsidRPr="00A93525">
        <w:t>sẽ tích lũy theo thỏa thuận tại Hợp đồng bảo hiểm hưu trí nhóm mới</w:t>
      </w:r>
      <w:r w:rsidR="002F1FA3" w:rsidRPr="00A93525">
        <w:t>.</w:t>
      </w:r>
    </w:p>
    <w:p w:rsidR="007908FB" w:rsidRPr="00A93525" w:rsidRDefault="00E92DBE" w:rsidP="00A93525">
      <w:pPr>
        <w:pStyle w:val="Heading1"/>
        <w:keepNext w:val="0"/>
        <w:keepLines w:val="0"/>
        <w:spacing w:before="0"/>
        <w:jc w:val="both"/>
        <w:rPr>
          <w:szCs w:val="24"/>
        </w:rPr>
      </w:pPr>
      <w:bookmarkStart w:id="67" w:name="_Toc496706464"/>
      <w:bookmarkStart w:id="68" w:name="_Toc496717748"/>
      <w:bookmarkStart w:id="69" w:name="_Toc498701181"/>
      <w:r w:rsidRPr="00A93525">
        <w:rPr>
          <w:caps w:val="0"/>
          <w:szCs w:val="24"/>
        </w:rPr>
        <w:t>TRÁCH NHIỆM KÊ KHAI, CUNG CẤP VÀ BẢO MẬT THÔNG TIN</w:t>
      </w:r>
      <w:bookmarkEnd w:id="67"/>
      <w:bookmarkEnd w:id="68"/>
      <w:bookmarkEnd w:id="69"/>
    </w:p>
    <w:p w:rsidR="008F6999" w:rsidRPr="00A93525" w:rsidRDefault="008F6999" w:rsidP="00A93525">
      <w:pPr>
        <w:pStyle w:val="Heading2"/>
        <w:keepNext w:val="0"/>
        <w:keepLines w:val="0"/>
        <w:jc w:val="both"/>
        <w:rPr>
          <w:szCs w:val="24"/>
        </w:rPr>
      </w:pPr>
      <w:bookmarkStart w:id="70" w:name="_Ref494724404"/>
      <w:r w:rsidRPr="00A93525">
        <w:rPr>
          <w:szCs w:val="24"/>
        </w:rPr>
        <w:t>Trách nhiệm cung cấp, giải thích đầy đủ, trung thực và chính xác thông tin cho Bên mua bảo hiểm của Công ty</w:t>
      </w:r>
      <w:bookmarkEnd w:id="70"/>
    </w:p>
    <w:p w:rsidR="008F6999" w:rsidRPr="00A93525" w:rsidRDefault="008F6999" w:rsidP="00212C2C">
      <w:pPr>
        <w:jc w:val="both"/>
        <w:rPr>
          <w:szCs w:val="24"/>
        </w:rPr>
      </w:pPr>
      <w:r w:rsidRPr="00A93525">
        <w:rPr>
          <w:szCs w:val="24"/>
        </w:rPr>
        <w:t>Công ty có trách nhiệm cung cấp đầy đủ thông tin liên quan đến Hợp đồng bảo hiểm</w:t>
      </w:r>
      <w:r w:rsidR="00347071" w:rsidRPr="00A93525">
        <w:rPr>
          <w:szCs w:val="24"/>
        </w:rPr>
        <w:t xml:space="preserve"> hưu trí</w:t>
      </w:r>
      <w:r w:rsidRPr="00A93525">
        <w:rPr>
          <w:szCs w:val="24"/>
        </w:rPr>
        <w:t>, giải thích các điều kiện, điều khoản bảo hiểm cho Bên mua bảo hiểm/Người được bảo hiểm.</w:t>
      </w:r>
    </w:p>
    <w:p w:rsidR="008F6999" w:rsidRPr="00A93525" w:rsidRDefault="008F6999" w:rsidP="00212C2C">
      <w:pPr>
        <w:jc w:val="both"/>
        <w:rPr>
          <w:szCs w:val="24"/>
        </w:rPr>
      </w:pPr>
      <w:r w:rsidRPr="00A93525">
        <w:rPr>
          <w:szCs w:val="24"/>
        </w:rPr>
        <w:t>Trường hợp Công ty cố ý cung cấp thông tin sai sự thật nhằm giao kết hợp đồng thì Bên mua bảo hiểm có quyền đơn phương đình chỉ thực hiện Hợp đồng bảo hiểm</w:t>
      </w:r>
      <w:r w:rsidR="00347071" w:rsidRPr="00A93525">
        <w:rPr>
          <w:szCs w:val="24"/>
        </w:rPr>
        <w:t xml:space="preserve"> hưu trí</w:t>
      </w:r>
      <w:r w:rsidRPr="00A93525">
        <w:rPr>
          <w:szCs w:val="24"/>
        </w:rPr>
        <w:t>; Công ty phải bồi thường thiệt hại phát sinh cho Bên mua bảo hiểm do việc cung cấp thông tin sai sự thật.</w:t>
      </w:r>
    </w:p>
    <w:p w:rsidR="008F6999" w:rsidRPr="00A93525" w:rsidRDefault="008F6999" w:rsidP="00A93525">
      <w:pPr>
        <w:pStyle w:val="Heading2"/>
        <w:keepNext w:val="0"/>
        <w:keepLines w:val="0"/>
        <w:jc w:val="both"/>
        <w:rPr>
          <w:szCs w:val="24"/>
        </w:rPr>
      </w:pPr>
      <w:bookmarkStart w:id="71" w:name="_Ref494724415"/>
      <w:r w:rsidRPr="00A93525">
        <w:rPr>
          <w:szCs w:val="24"/>
        </w:rPr>
        <w:t>Trách nhiệm kê khai thông tin trung thực, đầy đủ và chính xác của Bên mua bảo hiểm/Người được bảo hiểm</w:t>
      </w:r>
      <w:bookmarkEnd w:id="71"/>
    </w:p>
    <w:p w:rsidR="008F6999" w:rsidRPr="00A93525" w:rsidRDefault="008F6999" w:rsidP="00212C2C">
      <w:pPr>
        <w:jc w:val="both"/>
        <w:rPr>
          <w:szCs w:val="24"/>
        </w:rPr>
      </w:pPr>
      <w:r w:rsidRPr="00A93525">
        <w:rPr>
          <w:szCs w:val="24"/>
        </w:rPr>
        <w:t xml:space="preserve">Bên mua bảo hiểm và Người được bảo hiểm có trách nhiệm kê khai đầy đủ và trung thực </w:t>
      </w:r>
      <w:r w:rsidR="004A24BD" w:rsidRPr="00A93525">
        <w:rPr>
          <w:szCs w:val="24"/>
        </w:rPr>
        <w:t xml:space="preserve">theo hiểu biết của mình </w:t>
      </w:r>
      <w:r w:rsidRPr="00A93525">
        <w:rPr>
          <w:szCs w:val="24"/>
        </w:rPr>
        <w:t xml:space="preserve">tất cả các thông tin cần thiết để Công ty đánh giá khả năng chấp nhận bảo hiểm cho </w:t>
      </w:r>
      <w:r w:rsidR="00701135" w:rsidRPr="00A93525">
        <w:rPr>
          <w:szCs w:val="24"/>
        </w:rPr>
        <w:t xml:space="preserve">Hợp đồng bảo hiểm hưu trí </w:t>
      </w:r>
      <w:r w:rsidRPr="00A93525">
        <w:rPr>
          <w:szCs w:val="24"/>
        </w:rPr>
        <w:t xml:space="preserve">này. Việc thẩm định sức khỏe, nếu có, không thay thế cho </w:t>
      </w:r>
      <w:r w:rsidRPr="00A93525">
        <w:rPr>
          <w:szCs w:val="24"/>
        </w:rPr>
        <w:lastRenderedPageBreak/>
        <w:t>nghĩa vụ kê khai trung thực của Bên mua bảo hiểm/Người được bảo hiểm theo quy định tại điều này.</w:t>
      </w:r>
    </w:p>
    <w:p w:rsidR="008F6999" w:rsidRPr="00A93525" w:rsidRDefault="008F6999" w:rsidP="00212C2C">
      <w:pPr>
        <w:jc w:val="both"/>
        <w:rPr>
          <w:szCs w:val="24"/>
        </w:rPr>
      </w:pPr>
      <w:r w:rsidRPr="00A93525">
        <w:rPr>
          <w:szCs w:val="24"/>
        </w:rPr>
        <w:t>Nếu Bên mua bảo hiểm/Người được bảo hiểm cố ý kê khai không trung thực các thông tin cần thiết theo yêu cầu của Công ty, theo đó, nếu với thông tin chính xác, Công ty sẽ không chấp nhận bảo hiểm</w:t>
      </w:r>
      <w:r w:rsidR="00FC5CA0" w:rsidRPr="00A93525">
        <w:rPr>
          <w:szCs w:val="24"/>
        </w:rPr>
        <w:t>,</w:t>
      </w:r>
      <w:r w:rsidRPr="00A93525">
        <w:rPr>
          <w:szCs w:val="24"/>
        </w:rPr>
        <w:t xml:space="preserve"> Công ty không có trách nhiệm chi trả và có quyền đơn phương đình chỉ hợp đồng này ngay sau khi phát hiện ra hành vi vi phạm của Bên mua bảo hiểm/Người được bảo hiểm</w:t>
      </w:r>
      <w:r w:rsidR="00FC5CA0" w:rsidRPr="00A93525">
        <w:rPr>
          <w:szCs w:val="24"/>
        </w:rPr>
        <w:t>. Trong trường hợp này, Công ty sẽ</w:t>
      </w:r>
      <w:r w:rsidRPr="00A93525">
        <w:rPr>
          <w:szCs w:val="24"/>
        </w:rPr>
        <w:t xml:space="preserve"> </w:t>
      </w:r>
      <w:r w:rsidR="00191B99">
        <w:rPr>
          <w:szCs w:val="24"/>
        </w:rPr>
        <w:t xml:space="preserve">trả Giá trị tài khoản hưu trí </w:t>
      </w:r>
      <w:r w:rsidR="00191B99" w:rsidRPr="00206FD1">
        <w:rPr>
          <w:szCs w:val="24"/>
        </w:rPr>
        <w:t>(nếu có) tại thời điểm Hợp đồng bảo hiểm bị đình chỉ, sau khi trừ Khoản nợ (nếu có)</w:t>
      </w:r>
      <w:r w:rsidRPr="00A93525">
        <w:rPr>
          <w:szCs w:val="24"/>
        </w:rPr>
        <w:t xml:space="preserve">. </w:t>
      </w:r>
    </w:p>
    <w:p w:rsidR="008F6999" w:rsidRPr="00A93525" w:rsidRDefault="008F6999" w:rsidP="00212C2C">
      <w:pPr>
        <w:jc w:val="both"/>
        <w:rPr>
          <w:szCs w:val="24"/>
        </w:rPr>
      </w:pPr>
      <w:r w:rsidRPr="00A93525">
        <w:rPr>
          <w:szCs w:val="24"/>
        </w:rPr>
        <w:t>Trong trường hợp Bên mua bảo hiểm/Người được bảo hiểm</w:t>
      </w:r>
      <w:r w:rsidR="00A17067" w:rsidRPr="00A93525">
        <w:rPr>
          <w:szCs w:val="24"/>
        </w:rPr>
        <w:t xml:space="preserve"> cố ý</w:t>
      </w:r>
      <w:r w:rsidRPr="00A93525">
        <w:rPr>
          <w:szCs w:val="24"/>
        </w:rPr>
        <w:t xml:space="preserve"> vi phạm nghĩa vụ kê khai thông tin tại Điều này nhưng việc vi phạm này không làm ảnh hưởng tới quyết định chấp thuận bảo hiểm hoặc quyết định khôi phục hiệu lực </w:t>
      </w:r>
      <w:r w:rsidR="00701135" w:rsidRPr="00A93525">
        <w:rPr>
          <w:szCs w:val="24"/>
        </w:rPr>
        <w:t xml:space="preserve">Hợp đồng bảo hiểm hưu trí </w:t>
      </w:r>
      <w:r w:rsidRPr="00A93525">
        <w:rPr>
          <w:szCs w:val="24"/>
        </w:rPr>
        <w:t xml:space="preserve">theo quy định của Công ty tại từng thời điểm, Công ty vẫn sẽ chi trả quyền lợi bảo hiểm nếu có sự kiện bảo hiểm xảy ra theo Quy tắc và Điều khoản sản phẩm này. </w:t>
      </w:r>
    </w:p>
    <w:p w:rsidR="008F6999" w:rsidRPr="00A93525" w:rsidRDefault="008F6999" w:rsidP="00212C2C">
      <w:pPr>
        <w:jc w:val="both"/>
        <w:rPr>
          <w:szCs w:val="24"/>
        </w:rPr>
      </w:pPr>
      <w:r w:rsidRPr="00A93525">
        <w:rPr>
          <w:szCs w:val="24"/>
        </w:rPr>
        <w:t xml:space="preserve">Trong trường hợp </w:t>
      </w:r>
      <w:r w:rsidR="00701135" w:rsidRPr="00A93525">
        <w:rPr>
          <w:szCs w:val="24"/>
        </w:rPr>
        <w:t xml:space="preserve">Hợp đồng bảo hiểm hưu trí </w:t>
      </w:r>
      <w:r w:rsidRPr="00A93525">
        <w:rPr>
          <w:szCs w:val="24"/>
        </w:rPr>
        <w:t xml:space="preserve">tiếp tục duy trì hiệu lực, Công ty và Bên mua bảo hiểm có thể thỏa thuận về việc thu thêm khoản </w:t>
      </w:r>
      <w:r w:rsidR="00D32EEB" w:rsidRPr="00A93525">
        <w:rPr>
          <w:szCs w:val="24"/>
        </w:rPr>
        <w:t>P</w:t>
      </w:r>
      <w:r w:rsidRPr="00A93525">
        <w:rPr>
          <w:szCs w:val="24"/>
        </w:rPr>
        <w:t xml:space="preserve">hí bảo hiểm </w:t>
      </w:r>
      <w:r w:rsidR="00D92A44" w:rsidRPr="00A93525">
        <w:rPr>
          <w:szCs w:val="24"/>
        </w:rPr>
        <w:t xml:space="preserve">rủi ro </w:t>
      </w:r>
      <w:r w:rsidRPr="00A93525">
        <w:rPr>
          <w:szCs w:val="24"/>
        </w:rPr>
        <w:t>hoặc điều chỉnh Số tiền bảo hiểm giảm tương ứng với mức rủi ro (nếu có).</w:t>
      </w:r>
    </w:p>
    <w:p w:rsidR="008F6999" w:rsidRPr="00A93525" w:rsidRDefault="008F6999" w:rsidP="00A93525">
      <w:pPr>
        <w:pStyle w:val="Heading2"/>
        <w:keepNext w:val="0"/>
        <w:keepLines w:val="0"/>
        <w:jc w:val="both"/>
        <w:rPr>
          <w:szCs w:val="24"/>
        </w:rPr>
      </w:pPr>
      <w:r w:rsidRPr="00A93525">
        <w:rPr>
          <w:szCs w:val="24"/>
        </w:rPr>
        <w:t>Trách nhiệm bảo mật thông tin khách hàng của Công ty</w:t>
      </w:r>
    </w:p>
    <w:p w:rsidR="008F6999" w:rsidRPr="00A93525" w:rsidRDefault="008F6999" w:rsidP="00212C2C">
      <w:pPr>
        <w:jc w:val="both"/>
        <w:rPr>
          <w:szCs w:val="24"/>
        </w:rPr>
      </w:pPr>
      <w:r w:rsidRPr="00A93525">
        <w:rPr>
          <w:szCs w:val="24"/>
        </w:rPr>
        <w:t xml:space="preserve">Công ty không được chuyển giao thông tin cá nhân do Bên mua bảo hiểm/Người được bảo hiểm cung cấp tại </w:t>
      </w:r>
      <w:r w:rsidR="00701135" w:rsidRPr="00A93525">
        <w:rPr>
          <w:szCs w:val="24"/>
        </w:rPr>
        <w:t xml:space="preserve">Hợp đồng bảo hiểm hưu trí </w:t>
      </w:r>
      <w:r w:rsidRPr="00A93525">
        <w:rPr>
          <w:szCs w:val="24"/>
        </w:rPr>
        <w:t>cho bất kỳ bên thứ ba nào khác, trừ các trường hợp sau đây:</w:t>
      </w:r>
    </w:p>
    <w:p w:rsidR="008F6999" w:rsidRPr="00A93525" w:rsidRDefault="008F6999" w:rsidP="00212C2C">
      <w:pPr>
        <w:pStyle w:val="ListParagraph"/>
        <w:numPr>
          <w:ilvl w:val="0"/>
          <w:numId w:val="24"/>
        </w:numPr>
        <w:jc w:val="both"/>
        <w:rPr>
          <w:szCs w:val="24"/>
        </w:rPr>
      </w:pPr>
      <w:r w:rsidRPr="00A93525">
        <w:rPr>
          <w:szCs w:val="24"/>
        </w:rPr>
        <w:t>Thu thập, sử dụng, chuyển giao theo yêu cầu của cơ quan nhà nước có thẩm quyền hoặc cho mục đích thẩm định, tính toán phí bảo hiểm, phát hành Hợp đồng bảo hiểm</w:t>
      </w:r>
      <w:r w:rsidR="00D92A44" w:rsidRPr="00A93525">
        <w:rPr>
          <w:szCs w:val="24"/>
        </w:rPr>
        <w:t xml:space="preserve"> hưu trí</w:t>
      </w:r>
      <w:r w:rsidRPr="00A93525">
        <w:rPr>
          <w:szCs w:val="24"/>
        </w:rPr>
        <w:t>,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8F6999" w:rsidRPr="00A93525" w:rsidRDefault="008F6999" w:rsidP="00212C2C">
      <w:pPr>
        <w:pStyle w:val="ListParagraph"/>
        <w:numPr>
          <w:ilvl w:val="0"/>
          <w:numId w:val="24"/>
        </w:numPr>
        <w:jc w:val="both"/>
        <w:rPr>
          <w:szCs w:val="24"/>
        </w:rPr>
      </w:pPr>
      <w:r w:rsidRPr="00A93525">
        <w:rPr>
          <w:szCs w:val="24"/>
        </w:rPr>
        <w:t>Các trường hợp khác được Bên mua bảo hiểm/Người được bảo hiểm đồng ý bằng văn bản, với điều kiện:</w:t>
      </w:r>
    </w:p>
    <w:p w:rsidR="008F6999" w:rsidRPr="00A93525" w:rsidRDefault="008F6999" w:rsidP="00212C2C">
      <w:pPr>
        <w:pStyle w:val="ListParagraph"/>
        <w:numPr>
          <w:ilvl w:val="0"/>
          <w:numId w:val="25"/>
        </w:numPr>
        <w:jc w:val="both"/>
        <w:rPr>
          <w:szCs w:val="24"/>
        </w:rPr>
      </w:pPr>
      <w:r w:rsidRPr="00A93525">
        <w:rPr>
          <w:szCs w:val="24"/>
        </w:rPr>
        <w:t>Bên mua bảo hiểm/Người được bảo hiểm phải được thông báo về mục đích chuyển giao thông tin và được quyền lựa chọn giữa đồng ý hoặc không đồng ý với việc chuyển giao đó; và</w:t>
      </w:r>
    </w:p>
    <w:p w:rsidR="001A73D0" w:rsidRPr="00A93525" w:rsidRDefault="008F6999" w:rsidP="00212C2C">
      <w:pPr>
        <w:pStyle w:val="ListParagraph"/>
        <w:numPr>
          <w:ilvl w:val="0"/>
          <w:numId w:val="25"/>
        </w:numPr>
        <w:jc w:val="both"/>
        <w:rPr>
          <w:szCs w:val="24"/>
        </w:rPr>
      </w:pPr>
      <w:r w:rsidRPr="00A93525">
        <w:rPr>
          <w:szCs w:val="24"/>
        </w:rPr>
        <w:t>Việc Bên mua bảo hiểm/Người được bảo hiểm từ chối cho phép chuyển giao thông tin cho bên thứ ba ngoài điểm a</w:t>
      </w:r>
      <w:r w:rsidR="000A1CE7" w:rsidRPr="00A93525">
        <w:rPr>
          <w:szCs w:val="24"/>
        </w:rPr>
        <w:t>)</w:t>
      </w:r>
      <w:r w:rsidRPr="00A93525">
        <w:rPr>
          <w:szCs w:val="24"/>
        </w:rPr>
        <w:t xml:space="preserve"> khoản này không được sử dụng làm lý do để từ chối giao kết hợp đồng.</w:t>
      </w:r>
    </w:p>
    <w:p w:rsidR="005F2814" w:rsidRPr="00A93525" w:rsidRDefault="005F2814" w:rsidP="005F2814">
      <w:pPr>
        <w:ind w:left="360"/>
        <w:jc w:val="both"/>
        <w:rPr>
          <w:szCs w:val="24"/>
        </w:rPr>
      </w:pPr>
      <w:bookmarkStart w:id="72" w:name="_Ref494724423"/>
      <w:bookmarkStart w:id="73" w:name="_Toc496706465"/>
      <w:bookmarkStart w:id="74" w:name="_Toc496717749"/>
      <w:bookmarkStart w:id="75" w:name="_Toc498701182"/>
      <w:r w:rsidRPr="00A93525">
        <w:rPr>
          <w:szCs w:val="24"/>
        </w:rPr>
        <w:t xml:space="preserve">Bên mua bảo hiểm/Người được bảo hiểm có quyền yêu cầu Công ty bằng văn bản cung cấp những thông tin cá nhân mà Công ty đã thu thập, lưu trữ của Bên mua bảo hiểm/Người được bảo hiểm. </w:t>
      </w:r>
    </w:p>
    <w:p w:rsidR="005F2814" w:rsidRPr="00A93525" w:rsidRDefault="005F2814" w:rsidP="005F2814">
      <w:pPr>
        <w:ind w:left="360"/>
        <w:jc w:val="both"/>
        <w:rPr>
          <w:szCs w:val="24"/>
        </w:rPr>
      </w:pPr>
      <w:r w:rsidRPr="00A93525">
        <w:rPr>
          <w:szCs w:val="24"/>
        </w:rPr>
        <w:t>Nếu có bất kỳ thắc mắc, khiếu nại liên quan đến bảo mật thông tin, Bên mua bảo hiểm/Người được bảo hiểm liên hệ với Công ty để được giải đáp.</w:t>
      </w:r>
    </w:p>
    <w:p w:rsidR="00410388" w:rsidRPr="00A93525" w:rsidRDefault="00E92DBE" w:rsidP="00A93525">
      <w:pPr>
        <w:pStyle w:val="Heading1"/>
        <w:keepNext w:val="0"/>
        <w:keepLines w:val="0"/>
        <w:spacing w:before="0"/>
        <w:jc w:val="both"/>
        <w:rPr>
          <w:szCs w:val="24"/>
        </w:rPr>
      </w:pPr>
      <w:r w:rsidRPr="00A93525">
        <w:rPr>
          <w:caps w:val="0"/>
          <w:szCs w:val="24"/>
        </w:rPr>
        <w:lastRenderedPageBreak/>
        <w:t>NHẦM LẪN KHI KÊ KHAI TUỔI, GIỚI TÍNH</w:t>
      </w:r>
      <w:bookmarkEnd w:id="72"/>
      <w:bookmarkEnd w:id="73"/>
      <w:bookmarkEnd w:id="74"/>
      <w:bookmarkEnd w:id="75"/>
    </w:p>
    <w:p w:rsidR="00E2559B" w:rsidRPr="00A93525" w:rsidRDefault="00E2559B" w:rsidP="00212C2C">
      <w:pPr>
        <w:jc w:val="both"/>
        <w:rPr>
          <w:szCs w:val="24"/>
          <w:lang w:val="en-AU"/>
        </w:rPr>
      </w:pPr>
      <w:r w:rsidRPr="00A93525">
        <w:rPr>
          <w:szCs w:val="24"/>
          <w:lang w:val="en-AU"/>
        </w:rPr>
        <w:t xml:space="preserve">Trường hợp nhầm lẫn khi kê khai ngày sinh hoặc giới tính của Người được bảo hiểm, </w:t>
      </w:r>
      <w:r w:rsidR="00D92A44" w:rsidRPr="00A93525">
        <w:rPr>
          <w:szCs w:val="24"/>
          <w:lang w:val="en-AU"/>
        </w:rPr>
        <w:t>Phí</w:t>
      </w:r>
      <w:r w:rsidRPr="00A93525">
        <w:rPr>
          <w:szCs w:val="24"/>
          <w:lang w:val="en-AU"/>
        </w:rPr>
        <w:t xml:space="preserve"> bảo hiểm </w:t>
      </w:r>
      <w:r w:rsidR="00D92A44" w:rsidRPr="00A93525">
        <w:rPr>
          <w:szCs w:val="24"/>
          <w:lang w:val="en-AU"/>
        </w:rPr>
        <w:t xml:space="preserve">rủi ro </w:t>
      </w:r>
      <w:r w:rsidRPr="00A93525">
        <w:rPr>
          <w:szCs w:val="24"/>
          <w:lang w:val="en-AU"/>
        </w:rPr>
        <w:t>sẽ được điều chỉnh lại theo tuổi và/hoặc giới tính đúng. Cụ thể như sau:</w:t>
      </w:r>
    </w:p>
    <w:p w:rsidR="00E2559B" w:rsidRPr="00A93525" w:rsidRDefault="00E2559B" w:rsidP="00212C2C">
      <w:pPr>
        <w:pStyle w:val="ListParagraph"/>
        <w:numPr>
          <w:ilvl w:val="0"/>
          <w:numId w:val="14"/>
        </w:numPr>
        <w:jc w:val="both"/>
        <w:rPr>
          <w:szCs w:val="24"/>
          <w:lang w:val="en-AU"/>
        </w:rPr>
      </w:pPr>
      <w:r w:rsidRPr="00A93525">
        <w:rPr>
          <w:szCs w:val="24"/>
          <w:lang w:val="en-AU"/>
        </w:rPr>
        <w:t xml:space="preserve">Nếu Phí bảo hiểm </w:t>
      </w:r>
      <w:r w:rsidR="00D92A44" w:rsidRPr="00A93525">
        <w:rPr>
          <w:szCs w:val="24"/>
          <w:lang w:val="en-AU"/>
        </w:rPr>
        <w:t xml:space="preserve">rủi ro </w:t>
      </w:r>
      <w:r w:rsidRPr="00A93525">
        <w:rPr>
          <w:szCs w:val="24"/>
          <w:lang w:val="en-AU"/>
        </w:rPr>
        <w:t xml:space="preserve">đã </w:t>
      </w:r>
      <w:r w:rsidR="00D92A44" w:rsidRPr="00A93525">
        <w:rPr>
          <w:szCs w:val="24"/>
          <w:lang w:val="en-AU"/>
        </w:rPr>
        <w:t>khấu trừ</w:t>
      </w:r>
      <w:r w:rsidRPr="00A93525">
        <w:rPr>
          <w:szCs w:val="24"/>
          <w:lang w:val="en-AU"/>
        </w:rPr>
        <w:t xml:space="preserve"> thấp hơn Phí bảo hiểm </w:t>
      </w:r>
      <w:r w:rsidR="00D92A44" w:rsidRPr="00A93525">
        <w:rPr>
          <w:szCs w:val="24"/>
          <w:lang w:val="en-AU"/>
        </w:rPr>
        <w:t xml:space="preserve">rủi ro </w:t>
      </w:r>
      <w:r w:rsidRPr="00A93525">
        <w:rPr>
          <w:szCs w:val="24"/>
          <w:lang w:val="en-AU"/>
        </w:rPr>
        <w:t xml:space="preserve">tính theo tuổi và/hoặc giới tính đúng, Công ty sẽ </w:t>
      </w:r>
      <w:r w:rsidR="00D92A44" w:rsidRPr="00A93525">
        <w:rPr>
          <w:szCs w:val="24"/>
          <w:lang w:val="en-AU"/>
        </w:rPr>
        <w:t xml:space="preserve">khấu trừ phần </w:t>
      </w:r>
      <w:r w:rsidRPr="00A93525">
        <w:rPr>
          <w:szCs w:val="24"/>
          <w:lang w:val="en-AU"/>
        </w:rPr>
        <w:t xml:space="preserve">Phí bảo hiểm </w:t>
      </w:r>
      <w:r w:rsidR="00A256C0" w:rsidRPr="00A93525">
        <w:rPr>
          <w:szCs w:val="24"/>
          <w:lang w:val="en-AU"/>
        </w:rPr>
        <w:t xml:space="preserve">rủi ro </w:t>
      </w:r>
      <w:r w:rsidR="00D92A44" w:rsidRPr="00A93525">
        <w:rPr>
          <w:szCs w:val="24"/>
          <w:lang w:val="en-AU"/>
        </w:rPr>
        <w:t>còn thiếu vào Giá trị tài khoản hưu trí tương ứng với tuổi và/hoặc giới tính đúng</w:t>
      </w:r>
      <w:r w:rsidRPr="00A93525">
        <w:rPr>
          <w:szCs w:val="24"/>
          <w:lang w:val="en-AU"/>
        </w:rPr>
        <w:t>.</w:t>
      </w:r>
    </w:p>
    <w:p w:rsidR="00E2559B" w:rsidRPr="00A93525" w:rsidRDefault="00E2559B" w:rsidP="00212C2C">
      <w:pPr>
        <w:pStyle w:val="ListParagraph"/>
        <w:numPr>
          <w:ilvl w:val="0"/>
          <w:numId w:val="14"/>
        </w:numPr>
        <w:jc w:val="both"/>
        <w:rPr>
          <w:szCs w:val="24"/>
          <w:lang w:val="en-AU"/>
        </w:rPr>
      </w:pPr>
      <w:r w:rsidRPr="00A93525">
        <w:rPr>
          <w:szCs w:val="24"/>
          <w:lang w:val="en-AU"/>
        </w:rPr>
        <w:t xml:space="preserve">Nếu Phí bảo hiểm </w:t>
      </w:r>
      <w:r w:rsidR="00D92A44" w:rsidRPr="00A93525">
        <w:rPr>
          <w:szCs w:val="24"/>
          <w:lang w:val="en-AU"/>
        </w:rPr>
        <w:t xml:space="preserve">rủi ro </w:t>
      </w:r>
      <w:r w:rsidRPr="00A93525">
        <w:rPr>
          <w:szCs w:val="24"/>
          <w:lang w:val="en-AU"/>
        </w:rPr>
        <w:t xml:space="preserve">đã </w:t>
      </w:r>
      <w:r w:rsidR="00D92A44" w:rsidRPr="00A93525">
        <w:rPr>
          <w:szCs w:val="24"/>
          <w:lang w:val="en-AU"/>
        </w:rPr>
        <w:t xml:space="preserve">khấu trừ </w:t>
      </w:r>
      <w:r w:rsidRPr="00A93525">
        <w:rPr>
          <w:szCs w:val="24"/>
          <w:lang w:val="en-AU"/>
        </w:rPr>
        <w:t xml:space="preserve">cao hơn Phí bảo hiểm </w:t>
      </w:r>
      <w:r w:rsidR="00D92A44" w:rsidRPr="00A93525">
        <w:rPr>
          <w:szCs w:val="24"/>
          <w:lang w:val="en-AU"/>
        </w:rPr>
        <w:t xml:space="preserve">rủi ro </w:t>
      </w:r>
      <w:r w:rsidRPr="00A93525">
        <w:rPr>
          <w:szCs w:val="24"/>
          <w:lang w:val="en-AU"/>
        </w:rPr>
        <w:t xml:space="preserve">tính theo tuổi và/hoặc giới tính đúng, Công ty sẽ hoàn lại </w:t>
      </w:r>
      <w:r w:rsidR="00D92A44" w:rsidRPr="00A93525">
        <w:rPr>
          <w:szCs w:val="24"/>
          <w:lang w:val="en-AU"/>
        </w:rPr>
        <w:t>khoản tiền vượt quá này vào Giá trị tài khoản hưu trí</w:t>
      </w:r>
      <w:r w:rsidRPr="00A93525">
        <w:rPr>
          <w:szCs w:val="24"/>
          <w:lang w:val="en-AU"/>
        </w:rPr>
        <w:t>.</w:t>
      </w:r>
    </w:p>
    <w:p w:rsidR="00E2559B" w:rsidRPr="00A93525" w:rsidRDefault="00E2559B" w:rsidP="00212C2C">
      <w:pPr>
        <w:jc w:val="both"/>
        <w:rPr>
          <w:rFonts w:eastAsia="Times New Roman"/>
          <w:szCs w:val="24"/>
        </w:rPr>
      </w:pPr>
      <w:r w:rsidRPr="00A93525">
        <w:rPr>
          <w:szCs w:val="24"/>
          <w:lang w:val="en-AU"/>
        </w:rPr>
        <w:t xml:space="preserve">Nếu theo tuổi và/hoặc giới tính đúng, Người được bảo hiểm không thể được bảo hiểm thì Công ty có quyền </w:t>
      </w:r>
      <w:r w:rsidR="00AB3CEC" w:rsidRPr="00A93525">
        <w:rPr>
          <w:szCs w:val="24"/>
          <w:lang w:val="en-AU"/>
        </w:rPr>
        <w:t>chấm dứt</w:t>
      </w:r>
      <w:r w:rsidRPr="00A93525">
        <w:rPr>
          <w:szCs w:val="24"/>
          <w:lang w:val="en-AU"/>
        </w:rPr>
        <w:t xml:space="preserve"> Hợp đồng bảo hiểm, </w:t>
      </w:r>
      <w:r w:rsidR="00D92A44" w:rsidRPr="00A93525">
        <w:rPr>
          <w:szCs w:val="24"/>
          <w:lang w:val="en-AU"/>
        </w:rPr>
        <w:t xml:space="preserve">hoàn </w:t>
      </w:r>
      <w:r w:rsidRPr="00A93525">
        <w:rPr>
          <w:szCs w:val="24"/>
          <w:lang w:val="en-AU"/>
        </w:rPr>
        <w:t xml:space="preserve">trả số tiền lớn hơn giữa </w:t>
      </w:r>
      <w:r w:rsidR="00C55FFA" w:rsidRPr="00A93525">
        <w:rPr>
          <w:szCs w:val="24"/>
          <w:lang w:val="en-AU"/>
        </w:rPr>
        <w:t>Giá trị tài khoản hưu trí</w:t>
      </w:r>
      <w:r w:rsidRPr="00A93525">
        <w:rPr>
          <w:szCs w:val="24"/>
          <w:lang w:val="en-AU"/>
        </w:rPr>
        <w:t xml:space="preserve"> và tổng Phí bảo hiểm đã đóng của Hợp đồng bảo hiểm</w:t>
      </w:r>
      <w:r w:rsidR="00D92A44" w:rsidRPr="00A93525">
        <w:rPr>
          <w:szCs w:val="24"/>
          <w:lang w:val="en-AU"/>
        </w:rPr>
        <w:t xml:space="preserve"> hưu trí</w:t>
      </w:r>
      <w:r w:rsidRPr="00A93525">
        <w:rPr>
          <w:szCs w:val="24"/>
          <w:lang w:val="en-AU"/>
        </w:rPr>
        <w:t>, trừ các quyền lợi đã chi trả</w:t>
      </w:r>
      <w:r w:rsidR="00D92A44" w:rsidRPr="00A93525">
        <w:rPr>
          <w:szCs w:val="24"/>
          <w:lang w:val="en-AU"/>
        </w:rPr>
        <w:t xml:space="preserve"> và</w:t>
      </w:r>
      <w:r w:rsidRPr="00A93525">
        <w:rPr>
          <w:szCs w:val="24"/>
          <w:lang w:val="en-AU"/>
        </w:rPr>
        <w:t xml:space="preserve"> chi phí y khoa (nếu có).</w:t>
      </w:r>
    </w:p>
    <w:p w:rsidR="00410388" w:rsidRPr="00A93525" w:rsidRDefault="00E92DBE" w:rsidP="00A93525">
      <w:pPr>
        <w:pStyle w:val="Heading1"/>
        <w:keepNext w:val="0"/>
        <w:keepLines w:val="0"/>
        <w:spacing w:before="0"/>
        <w:jc w:val="both"/>
        <w:rPr>
          <w:szCs w:val="24"/>
        </w:rPr>
      </w:pPr>
      <w:bookmarkStart w:id="76" w:name="_Ref493524876"/>
      <w:bookmarkStart w:id="77" w:name="_Toc496706466"/>
      <w:bookmarkStart w:id="78" w:name="_Toc496717750"/>
      <w:bookmarkStart w:id="79" w:name="_Toc498701183"/>
      <w:r w:rsidRPr="00A93525">
        <w:rPr>
          <w:caps w:val="0"/>
          <w:szCs w:val="24"/>
        </w:rPr>
        <w:t>KHÔI PHỤC HIỆU LỰC HỢP ĐỒNG</w:t>
      </w:r>
      <w:bookmarkEnd w:id="76"/>
      <w:bookmarkEnd w:id="77"/>
      <w:bookmarkEnd w:id="78"/>
      <w:bookmarkEnd w:id="79"/>
    </w:p>
    <w:p w:rsidR="00C55FFA" w:rsidRPr="00A93525" w:rsidRDefault="00C55FFA" w:rsidP="00212C2C">
      <w:pPr>
        <w:jc w:val="both"/>
        <w:rPr>
          <w:szCs w:val="24"/>
          <w:lang w:val="vi-VN"/>
        </w:rPr>
      </w:pPr>
      <w:r w:rsidRPr="00A93525">
        <w:rPr>
          <w:rFonts w:eastAsia="Times New Roman"/>
          <w:szCs w:val="24"/>
        </w:rPr>
        <w:t>Khi</w:t>
      </w:r>
      <w:r w:rsidRPr="00A93525">
        <w:rPr>
          <w:szCs w:val="24"/>
          <w:lang w:val="vi-VN"/>
        </w:rPr>
        <w:t xml:space="preserve"> </w:t>
      </w:r>
      <w:r w:rsidR="00C41292" w:rsidRPr="00A93525">
        <w:rPr>
          <w:szCs w:val="24"/>
        </w:rPr>
        <w:t>H</w:t>
      </w:r>
      <w:r w:rsidRPr="00A93525">
        <w:rPr>
          <w:szCs w:val="24"/>
          <w:lang w:val="vi-VN"/>
        </w:rPr>
        <w:t>ợp đồng</w:t>
      </w:r>
      <w:r w:rsidR="00C41292" w:rsidRPr="00A93525">
        <w:rPr>
          <w:szCs w:val="24"/>
        </w:rPr>
        <w:t xml:space="preserve"> bảo hiểm hưu trí</w:t>
      </w:r>
      <w:r w:rsidRPr="00A93525">
        <w:rPr>
          <w:szCs w:val="24"/>
          <w:lang w:val="vi-VN"/>
        </w:rPr>
        <w:t xml:space="preserve"> </w:t>
      </w:r>
      <w:r w:rsidR="000624B9" w:rsidRPr="00A93525">
        <w:rPr>
          <w:szCs w:val="24"/>
        </w:rPr>
        <w:t xml:space="preserve">hoặc (các) sản phẩm bổ sung </w:t>
      </w:r>
      <w:r w:rsidRPr="00A93525">
        <w:rPr>
          <w:szCs w:val="24"/>
          <w:lang w:val="vi-VN"/>
        </w:rPr>
        <w:t xml:space="preserve">mất hiệu lực, Bên mua bảo hiểm </w:t>
      </w:r>
      <w:r w:rsidR="00850AB9" w:rsidRPr="00A93525">
        <w:rPr>
          <w:szCs w:val="24"/>
        </w:rPr>
        <w:t>và</w:t>
      </w:r>
      <w:r w:rsidR="00E5504E" w:rsidRPr="00A93525">
        <w:rPr>
          <w:szCs w:val="24"/>
        </w:rPr>
        <w:t>/hoặc</w:t>
      </w:r>
      <w:r w:rsidR="00850AB9" w:rsidRPr="00A93525">
        <w:rPr>
          <w:szCs w:val="24"/>
        </w:rPr>
        <w:t xml:space="preserve"> Người được bảo hiểm </w:t>
      </w:r>
      <w:r w:rsidRPr="00A93525">
        <w:rPr>
          <w:szCs w:val="24"/>
          <w:lang w:val="vi-VN"/>
        </w:rPr>
        <w:t xml:space="preserve">có thể yêu cầu khôi phục hiệu lực hợp đồng </w:t>
      </w:r>
      <w:r w:rsidR="000624B9" w:rsidRPr="00A93525">
        <w:rPr>
          <w:szCs w:val="24"/>
        </w:rPr>
        <w:t xml:space="preserve">hoặc </w:t>
      </w:r>
      <w:r w:rsidR="006E3555" w:rsidRPr="00A93525">
        <w:rPr>
          <w:szCs w:val="24"/>
        </w:rPr>
        <w:t xml:space="preserve">khôi phục hiệu lực </w:t>
      </w:r>
      <w:r w:rsidR="000624B9" w:rsidRPr="00A93525">
        <w:rPr>
          <w:szCs w:val="24"/>
        </w:rPr>
        <w:t xml:space="preserve">(các) sản phẩm bổ sung </w:t>
      </w:r>
      <w:r w:rsidRPr="00A93525">
        <w:rPr>
          <w:szCs w:val="24"/>
          <w:lang w:val="vi-VN"/>
        </w:rPr>
        <w:t>nếu đáp ứng tất cả các điều kiện sau:</w:t>
      </w:r>
    </w:p>
    <w:p w:rsidR="00C55FFA" w:rsidRPr="00A93525" w:rsidRDefault="007030B3" w:rsidP="00212C2C">
      <w:pPr>
        <w:pStyle w:val="ListParagraph"/>
        <w:numPr>
          <w:ilvl w:val="0"/>
          <w:numId w:val="15"/>
        </w:numPr>
        <w:jc w:val="both"/>
        <w:rPr>
          <w:szCs w:val="24"/>
          <w:lang w:val="vi-VN"/>
        </w:rPr>
      </w:pPr>
      <w:r w:rsidRPr="00A93525">
        <w:rPr>
          <w:szCs w:val="24"/>
        </w:rPr>
        <w:t>Y</w:t>
      </w:r>
      <w:r w:rsidR="00C55FFA" w:rsidRPr="00A93525">
        <w:rPr>
          <w:szCs w:val="24"/>
          <w:lang w:val="vi-VN"/>
        </w:rPr>
        <w:t xml:space="preserve">êu cầu khôi phục hiệu lực </w:t>
      </w:r>
      <w:r w:rsidRPr="00A93525">
        <w:rPr>
          <w:szCs w:val="24"/>
        </w:rPr>
        <w:t xml:space="preserve">được nộp </w:t>
      </w:r>
      <w:r w:rsidR="00C55FFA" w:rsidRPr="00A93525">
        <w:rPr>
          <w:szCs w:val="24"/>
          <w:lang w:val="vi-VN"/>
        </w:rPr>
        <w:t>trong thời gian</w:t>
      </w:r>
      <w:r w:rsidR="00323F36" w:rsidRPr="00A93525">
        <w:rPr>
          <w:szCs w:val="24"/>
        </w:rPr>
        <w:t xml:space="preserve"> hai mươi bốn</w:t>
      </w:r>
      <w:r w:rsidR="00C55FFA" w:rsidRPr="00A93525">
        <w:rPr>
          <w:szCs w:val="24"/>
          <w:lang w:val="vi-VN"/>
        </w:rPr>
        <w:t xml:space="preserve"> </w:t>
      </w:r>
      <w:r w:rsidR="00323F36" w:rsidRPr="00A93525">
        <w:rPr>
          <w:szCs w:val="24"/>
        </w:rPr>
        <w:t>(</w:t>
      </w:r>
      <w:r w:rsidR="00C55FFA" w:rsidRPr="00A93525">
        <w:rPr>
          <w:szCs w:val="24"/>
          <w:lang w:val="vi-VN"/>
        </w:rPr>
        <w:t>24</w:t>
      </w:r>
      <w:r w:rsidR="00323F36" w:rsidRPr="00A93525">
        <w:rPr>
          <w:szCs w:val="24"/>
        </w:rPr>
        <w:t>)</w:t>
      </w:r>
      <w:r w:rsidR="00C55FFA" w:rsidRPr="00A93525">
        <w:rPr>
          <w:szCs w:val="24"/>
          <w:lang w:val="vi-VN"/>
        </w:rPr>
        <w:t xml:space="preserve"> tháng kể từ ngày mất hiệu lực</w:t>
      </w:r>
      <w:r w:rsidR="0029542F" w:rsidRPr="00A93525">
        <w:rPr>
          <w:szCs w:val="24"/>
        </w:rPr>
        <w:t xml:space="preserve"> và trong Thời hạn tích lũy</w:t>
      </w:r>
      <w:r w:rsidR="00C55FFA" w:rsidRPr="00A93525">
        <w:rPr>
          <w:szCs w:val="24"/>
          <w:lang w:val="vi-VN"/>
        </w:rPr>
        <w:t>;</w:t>
      </w:r>
    </w:p>
    <w:p w:rsidR="00323F36" w:rsidRPr="00A93525" w:rsidRDefault="00C55FFA" w:rsidP="00212C2C">
      <w:pPr>
        <w:pStyle w:val="ListParagraph"/>
        <w:numPr>
          <w:ilvl w:val="0"/>
          <w:numId w:val="15"/>
        </w:numPr>
        <w:jc w:val="both"/>
        <w:rPr>
          <w:szCs w:val="24"/>
          <w:lang w:val="vi-VN"/>
        </w:rPr>
      </w:pPr>
      <w:r w:rsidRPr="00A93525">
        <w:rPr>
          <w:szCs w:val="24"/>
          <w:lang w:val="vi-VN"/>
        </w:rPr>
        <w:t xml:space="preserve">Bên mua bảo hiểm </w:t>
      </w:r>
      <w:r w:rsidR="00C41292" w:rsidRPr="00A93525">
        <w:rPr>
          <w:szCs w:val="24"/>
        </w:rPr>
        <w:t xml:space="preserve">và/hoặc Người được bảo hiểm </w:t>
      </w:r>
      <w:r w:rsidRPr="00A93525">
        <w:rPr>
          <w:szCs w:val="24"/>
          <w:lang w:val="vi-VN"/>
        </w:rPr>
        <w:t xml:space="preserve">đóng </w:t>
      </w:r>
      <w:r w:rsidR="00126967" w:rsidRPr="004234A4">
        <w:rPr>
          <w:szCs w:val="24"/>
        </w:rPr>
        <w:t xml:space="preserve">tối thiểu </w:t>
      </w:r>
      <w:r w:rsidR="00126967">
        <w:rPr>
          <w:szCs w:val="24"/>
        </w:rPr>
        <w:t xml:space="preserve">1 </w:t>
      </w:r>
      <w:r w:rsidR="00E70673">
        <w:rPr>
          <w:szCs w:val="24"/>
        </w:rPr>
        <w:t>kỳ</w:t>
      </w:r>
      <w:r w:rsidR="00126967">
        <w:rPr>
          <w:szCs w:val="24"/>
        </w:rPr>
        <w:t xml:space="preserve"> Phí bảo hiểm </w:t>
      </w:r>
      <w:r w:rsidR="00E70673">
        <w:rPr>
          <w:szCs w:val="24"/>
        </w:rPr>
        <w:t>cơ bản</w:t>
      </w:r>
      <w:r w:rsidR="00126967">
        <w:rPr>
          <w:szCs w:val="24"/>
        </w:rPr>
        <w:t xml:space="preserve"> hoặc 3 </w:t>
      </w:r>
      <w:r w:rsidR="00E70673">
        <w:rPr>
          <w:szCs w:val="24"/>
        </w:rPr>
        <w:t>kỳ</w:t>
      </w:r>
      <w:r w:rsidR="00126967">
        <w:rPr>
          <w:szCs w:val="24"/>
        </w:rPr>
        <w:t xml:space="preserve"> Phí bảo hiểm </w:t>
      </w:r>
      <w:r w:rsidR="00E70673">
        <w:rPr>
          <w:szCs w:val="24"/>
        </w:rPr>
        <w:t>cơ bản</w:t>
      </w:r>
      <w:r w:rsidR="00126967">
        <w:rPr>
          <w:szCs w:val="24"/>
        </w:rPr>
        <w:t xml:space="preserve"> nếu là định kỳ đóng phí tháng sao cho Giá trị tài khoản </w:t>
      </w:r>
      <w:r w:rsidR="00E70673">
        <w:rPr>
          <w:szCs w:val="24"/>
        </w:rPr>
        <w:t xml:space="preserve">hưu trí </w:t>
      </w:r>
      <w:r w:rsidR="00126967">
        <w:rPr>
          <w:szCs w:val="24"/>
        </w:rPr>
        <w:t>sau khi trừ Khoản nợ (nếu có) phải lớn hơn 0</w:t>
      </w:r>
      <w:r w:rsidRPr="00A93525">
        <w:rPr>
          <w:szCs w:val="24"/>
        </w:rPr>
        <w:t>;</w:t>
      </w:r>
    </w:p>
    <w:p w:rsidR="00C55FFA" w:rsidRPr="00A93525" w:rsidRDefault="00323F36" w:rsidP="00212C2C">
      <w:pPr>
        <w:pStyle w:val="ListParagraph"/>
        <w:numPr>
          <w:ilvl w:val="0"/>
          <w:numId w:val="15"/>
        </w:numPr>
        <w:jc w:val="both"/>
        <w:rPr>
          <w:szCs w:val="24"/>
          <w:lang w:val="vi-VN"/>
        </w:rPr>
      </w:pPr>
      <w:r w:rsidRPr="00A93525">
        <w:rPr>
          <w:szCs w:val="24"/>
        </w:rPr>
        <w:t>B</w:t>
      </w:r>
      <w:r w:rsidR="00C55FFA" w:rsidRPr="00A93525">
        <w:rPr>
          <w:szCs w:val="24"/>
          <w:lang w:val="vi-VN"/>
        </w:rPr>
        <w:t>ên mua bảo hiểm và Người được bảo hiểm đủ điều kiện tham gia theo quy định của Quy tắc</w:t>
      </w:r>
      <w:r w:rsidR="00C55FFA" w:rsidRPr="00A93525">
        <w:rPr>
          <w:szCs w:val="24"/>
        </w:rPr>
        <w:t xml:space="preserve"> và</w:t>
      </w:r>
      <w:r w:rsidR="00C55FFA" w:rsidRPr="00A93525">
        <w:rPr>
          <w:szCs w:val="24"/>
          <w:lang w:val="vi-VN"/>
        </w:rPr>
        <w:t xml:space="preserve"> Điều khoản sản phẩm</w:t>
      </w:r>
      <w:r w:rsidR="00C55FFA" w:rsidRPr="00A93525">
        <w:rPr>
          <w:szCs w:val="24"/>
        </w:rPr>
        <w:t xml:space="preserve"> này.</w:t>
      </w:r>
    </w:p>
    <w:p w:rsidR="00C55FFA" w:rsidRPr="00A93525" w:rsidRDefault="00C55FFA" w:rsidP="00212C2C">
      <w:pPr>
        <w:jc w:val="both"/>
        <w:rPr>
          <w:szCs w:val="24"/>
          <w:lang w:val="vi-VN"/>
        </w:rPr>
      </w:pPr>
      <w:r w:rsidRPr="00A93525">
        <w:rPr>
          <w:szCs w:val="24"/>
        </w:rPr>
        <w:t xml:space="preserve">Nếu được Công ty chấp nhận yêu cầu khôi phục hiệu lực, thời điểm có hiệu lực của việc </w:t>
      </w:r>
      <w:r w:rsidRPr="00A93525">
        <w:rPr>
          <w:szCs w:val="24"/>
          <w:lang w:val="vi-VN"/>
        </w:rPr>
        <w:t>khôi phục này được tính từ ngày Công ty xác nhận chấp thuận việc khôi phục hiệu lực bằng văn bản, với điều kiện Người được bảo hiểm phải còn sống vào thời điểm Công ty chấp thuận khôi phục hiệu lực. Công ty không bảo hiểm cho những sự kiện bảo hiểm xảy ra trong thời gian mất hiệu lực.</w:t>
      </w:r>
    </w:p>
    <w:p w:rsidR="00410388" w:rsidRPr="00A93525" w:rsidRDefault="00E92DBE" w:rsidP="00A93525">
      <w:pPr>
        <w:pStyle w:val="Heading1"/>
        <w:keepNext w:val="0"/>
        <w:keepLines w:val="0"/>
        <w:spacing w:before="0"/>
        <w:jc w:val="both"/>
        <w:rPr>
          <w:szCs w:val="24"/>
        </w:rPr>
      </w:pPr>
      <w:bookmarkStart w:id="80" w:name="_Toc496706467"/>
      <w:bookmarkStart w:id="81" w:name="_Toc496717751"/>
      <w:bookmarkStart w:id="82" w:name="_Toc498701184"/>
      <w:r w:rsidRPr="00A93525">
        <w:rPr>
          <w:caps w:val="0"/>
          <w:szCs w:val="24"/>
        </w:rPr>
        <w:t xml:space="preserve">CHẤM DỨT </w:t>
      </w:r>
      <w:r w:rsidR="00B95932" w:rsidRPr="00A93525">
        <w:rPr>
          <w:caps w:val="0"/>
          <w:szCs w:val="24"/>
        </w:rPr>
        <w:t xml:space="preserve">HIỆU LỰC </w:t>
      </w:r>
      <w:r w:rsidRPr="00A93525">
        <w:rPr>
          <w:caps w:val="0"/>
          <w:szCs w:val="24"/>
        </w:rPr>
        <w:t>HỢP ĐỒNG BẢO HIỂM</w:t>
      </w:r>
      <w:r w:rsidR="0080632F" w:rsidRPr="00A93525">
        <w:rPr>
          <w:caps w:val="0"/>
          <w:szCs w:val="24"/>
        </w:rPr>
        <w:t xml:space="preserve"> HƯU TRÍ</w:t>
      </w:r>
      <w:bookmarkEnd w:id="80"/>
      <w:bookmarkEnd w:id="81"/>
      <w:bookmarkEnd w:id="82"/>
    </w:p>
    <w:p w:rsidR="003D5A3E" w:rsidRPr="00A93525" w:rsidRDefault="00701135" w:rsidP="00212C2C">
      <w:pPr>
        <w:jc w:val="both"/>
        <w:rPr>
          <w:szCs w:val="24"/>
        </w:rPr>
      </w:pPr>
      <w:r w:rsidRPr="00A93525">
        <w:rPr>
          <w:szCs w:val="24"/>
        </w:rPr>
        <w:t xml:space="preserve">Hợp đồng bảo hiểm hưu trí </w:t>
      </w:r>
      <w:r w:rsidR="003D5A3E" w:rsidRPr="00A93525">
        <w:rPr>
          <w:szCs w:val="24"/>
        </w:rPr>
        <w:t>sẽ tự động chấm dứt hiệu lực nếu một trong các sự kiện sau xảy ra, tùy thuộc vào sự kiện nào xảy ra trước:</w:t>
      </w:r>
    </w:p>
    <w:p w:rsidR="00CF2F67" w:rsidRPr="00A93525" w:rsidRDefault="003D5A3E" w:rsidP="00212C2C">
      <w:pPr>
        <w:pStyle w:val="ListParagraph"/>
        <w:numPr>
          <w:ilvl w:val="0"/>
          <w:numId w:val="16"/>
        </w:numPr>
        <w:jc w:val="both"/>
        <w:rPr>
          <w:szCs w:val="24"/>
          <w:lang w:val="en-AU"/>
        </w:rPr>
      </w:pPr>
      <w:r w:rsidRPr="00A93525">
        <w:rPr>
          <w:szCs w:val="24"/>
          <w:lang w:val="en-AU"/>
        </w:rPr>
        <w:t xml:space="preserve">Ngày </w:t>
      </w:r>
      <w:r w:rsidR="00850AB9" w:rsidRPr="00A93525">
        <w:rPr>
          <w:szCs w:val="24"/>
          <w:lang w:val="en-AU"/>
        </w:rPr>
        <w:t>kết thúc Thời hạn chi trả</w:t>
      </w:r>
      <w:r w:rsidRPr="00A93525">
        <w:rPr>
          <w:szCs w:val="24"/>
          <w:lang w:val="en-AU"/>
        </w:rPr>
        <w:t>; hoặc</w:t>
      </w:r>
    </w:p>
    <w:p w:rsidR="003D5A3E" w:rsidRPr="00A93525" w:rsidRDefault="003D5A3E" w:rsidP="00212C2C">
      <w:pPr>
        <w:pStyle w:val="ListParagraph"/>
        <w:numPr>
          <w:ilvl w:val="0"/>
          <w:numId w:val="16"/>
        </w:numPr>
        <w:jc w:val="both"/>
        <w:rPr>
          <w:szCs w:val="24"/>
          <w:lang w:val="en-AU"/>
        </w:rPr>
      </w:pPr>
      <w:r w:rsidRPr="00A93525">
        <w:rPr>
          <w:szCs w:val="24"/>
          <w:lang w:val="en-AU"/>
        </w:rPr>
        <w:t>Người được bảo hiểm tử vong; hoặc</w:t>
      </w:r>
    </w:p>
    <w:p w:rsidR="003D5A3E" w:rsidRPr="00A93525" w:rsidRDefault="003D5A3E" w:rsidP="00212C2C">
      <w:pPr>
        <w:pStyle w:val="ListParagraph"/>
        <w:numPr>
          <w:ilvl w:val="0"/>
          <w:numId w:val="16"/>
        </w:numPr>
        <w:jc w:val="both"/>
        <w:rPr>
          <w:szCs w:val="24"/>
          <w:lang w:val="en-AU"/>
        </w:rPr>
      </w:pPr>
      <w:r w:rsidRPr="00A93525">
        <w:rPr>
          <w:szCs w:val="24"/>
          <w:lang w:val="en-AU"/>
        </w:rPr>
        <w:t>Quyền lợi Thương tật toàn bộ vĩnh viễn được Công ty chấp thuận chi trả; hoặc</w:t>
      </w:r>
    </w:p>
    <w:p w:rsidR="00850AB9" w:rsidRPr="00A93525" w:rsidRDefault="00850AB9" w:rsidP="00212C2C">
      <w:pPr>
        <w:pStyle w:val="ListParagraph"/>
        <w:numPr>
          <w:ilvl w:val="0"/>
          <w:numId w:val="16"/>
        </w:numPr>
        <w:jc w:val="both"/>
        <w:rPr>
          <w:szCs w:val="24"/>
          <w:lang w:val="en-AU"/>
        </w:rPr>
      </w:pPr>
      <w:r w:rsidRPr="00A93525">
        <w:rPr>
          <w:szCs w:val="24"/>
          <w:lang w:val="en-AU"/>
        </w:rPr>
        <w:t>Người được bảo hiểm chuyển Giá trị tài khoản hưu trí sang doanh nghiệp bảo hiểm khác; hoặc</w:t>
      </w:r>
    </w:p>
    <w:p w:rsidR="00CF2F67" w:rsidRPr="00A93525" w:rsidRDefault="00CF2F67" w:rsidP="00212C2C">
      <w:pPr>
        <w:pStyle w:val="ListParagraph"/>
        <w:numPr>
          <w:ilvl w:val="0"/>
          <w:numId w:val="16"/>
        </w:numPr>
        <w:jc w:val="both"/>
        <w:rPr>
          <w:szCs w:val="24"/>
          <w:lang w:val="en-AU"/>
        </w:rPr>
      </w:pPr>
      <w:r w:rsidRPr="00A93525">
        <w:rPr>
          <w:szCs w:val="24"/>
          <w:lang w:val="en-AU"/>
        </w:rPr>
        <w:t xml:space="preserve">Người được bảo hiểm rút trước toàn bộ Giá trị tài khoản hưu trí theo quy định tại </w:t>
      </w:r>
      <w:r w:rsidR="00396F4E" w:rsidRPr="00A93525">
        <w:rPr>
          <w:szCs w:val="24"/>
          <w:lang w:val="en-AU"/>
        </w:rPr>
        <w:t>Điều 7</w:t>
      </w:r>
      <w:r w:rsidR="00A91971">
        <w:rPr>
          <w:szCs w:val="24"/>
          <w:lang w:val="en-AU"/>
        </w:rPr>
        <w:t>;</w:t>
      </w:r>
      <w:r w:rsidR="00396F4E" w:rsidRPr="00A93525">
        <w:rPr>
          <w:szCs w:val="24"/>
          <w:lang w:val="en-AU"/>
        </w:rPr>
        <w:t xml:space="preserve"> </w:t>
      </w:r>
      <w:r w:rsidR="00323F36" w:rsidRPr="00A93525">
        <w:rPr>
          <w:szCs w:val="24"/>
          <w:lang w:val="en-AU"/>
        </w:rPr>
        <w:t>hoặc</w:t>
      </w:r>
    </w:p>
    <w:p w:rsidR="00850AB9" w:rsidRPr="00A93525" w:rsidRDefault="00140BA1" w:rsidP="00212C2C">
      <w:pPr>
        <w:pStyle w:val="ListParagraph"/>
        <w:numPr>
          <w:ilvl w:val="0"/>
          <w:numId w:val="16"/>
        </w:numPr>
        <w:jc w:val="both"/>
        <w:rPr>
          <w:szCs w:val="24"/>
          <w:lang w:val="en-AU"/>
        </w:rPr>
      </w:pPr>
      <w:r w:rsidRPr="00A93525">
        <w:rPr>
          <w:szCs w:val="24"/>
          <w:lang w:val="en-AU"/>
        </w:rPr>
        <w:lastRenderedPageBreak/>
        <w:t xml:space="preserve">Giá trị tài khoản hưu trí được chi trả </w:t>
      </w:r>
      <w:r w:rsidR="00850AB9" w:rsidRPr="00A93525">
        <w:rPr>
          <w:szCs w:val="24"/>
          <w:lang w:val="en-AU"/>
        </w:rPr>
        <w:t>toàn bộ; hoặc</w:t>
      </w:r>
    </w:p>
    <w:p w:rsidR="008A46A7" w:rsidRPr="00A93525" w:rsidRDefault="00850AB9" w:rsidP="00212C2C">
      <w:pPr>
        <w:pStyle w:val="ListParagraph"/>
        <w:numPr>
          <w:ilvl w:val="0"/>
          <w:numId w:val="16"/>
        </w:numPr>
        <w:jc w:val="both"/>
        <w:rPr>
          <w:szCs w:val="24"/>
          <w:lang w:val="en-AU"/>
        </w:rPr>
      </w:pPr>
      <w:r w:rsidRPr="00A93525">
        <w:rPr>
          <w:szCs w:val="24"/>
          <w:lang w:val="en-AU"/>
        </w:rPr>
        <w:t xml:space="preserve">Hợp đồng bảo hiểm chấm dứt hiệu lực theo </w:t>
      </w:r>
      <w:r w:rsidR="0080632F" w:rsidRPr="00A93525">
        <w:rPr>
          <w:szCs w:val="24"/>
          <w:lang w:val="en-AU"/>
        </w:rPr>
        <w:t xml:space="preserve">các điều kiện và điều khoản được </w:t>
      </w:r>
      <w:r w:rsidRPr="00A93525">
        <w:rPr>
          <w:szCs w:val="24"/>
          <w:lang w:val="en-AU"/>
        </w:rPr>
        <w:t xml:space="preserve">quy định tại </w:t>
      </w:r>
      <w:r w:rsidR="0080632F" w:rsidRPr="00A93525">
        <w:rPr>
          <w:szCs w:val="24"/>
          <w:lang w:val="en-AU"/>
        </w:rPr>
        <w:t>Quy tắc và Điều khoản sản phẩm này</w:t>
      </w:r>
      <w:r w:rsidR="00140BA1" w:rsidRPr="00A93525">
        <w:rPr>
          <w:szCs w:val="24"/>
          <w:lang w:val="en-AU"/>
        </w:rPr>
        <w:t>.</w:t>
      </w:r>
    </w:p>
    <w:p w:rsidR="00B53530" w:rsidRPr="00A93525" w:rsidRDefault="00B53530" w:rsidP="00A93525">
      <w:pPr>
        <w:pStyle w:val="Heading1"/>
        <w:keepNext w:val="0"/>
        <w:keepLines w:val="0"/>
        <w:spacing w:before="0"/>
        <w:jc w:val="both"/>
        <w:rPr>
          <w:szCs w:val="24"/>
        </w:rPr>
      </w:pPr>
      <w:bookmarkStart w:id="83" w:name="_Toc496706468"/>
      <w:bookmarkStart w:id="84" w:name="_Toc496717752"/>
      <w:bookmarkStart w:id="85" w:name="_Toc498701185"/>
      <w:r w:rsidRPr="00A93525">
        <w:rPr>
          <w:caps w:val="0"/>
          <w:szCs w:val="24"/>
        </w:rPr>
        <w:t>GIÁ TRỊ TÀI KHOẢN HƯU TRÍ</w:t>
      </w:r>
      <w:bookmarkEnd w:id="83"/>
      <w:bookmarkEnd w:id="84"/>
      <w:bookmarkEnd w:id="85"/>
      <w:r w:rsidRPr="00A93525">
        <w:rPr>
          <w:caps w:val="0"/>
          <w:szCs w:val="24"/>
        </w:rPr>
        <w:t xml:space="preserve"> </w:t>
      </w:r>
    </w:p>
    <w:p w:rsidR="00B53530" w:rsidRPr="00A93525" w:rsidRDefault="00B53530" w:rsidP="00212C2C">
      <w:pPr>
        <w:jc w:val="both"/>
        <w:rPr>
          <w:szCs w:val="24"/>
          <w:lang w:val="en-AU"/>
        </w:rPr>
      </w:pPr>
      <w:r w:rsidRPr="00A93525">
        <w:rPr>
          <w:szCs w:val="24"/>
          <w:lang w:val="en-AU"/>
        </w:rPr>
        <w:t xml:space="preserve">Giá trị tài khoản hưu trí được </w:t>
      </w:r>
      <w:r w:rsidR="004A5E27" w:rsidRPr="00A93525">
        <w:rPr>
          <w:szCs w:val="24"/>
          <w:lang w:val="en-AU"/>
        </w:rPr>
        <w:t xml:space="preserve">hình thành từ các khoản đóng góp của Bên mua bảo hiểm/Người được bảo hiểm hoặc </w:t>
      </w:r>
      <w:r w:rsidR="00347071" w:rsidRPr="00A93525">
        <w:rPr>
          <w:szCs w:val="24"/>
          <w:lang w:val="en-AU"/>
        </w:rPr>
        <w:t xml:space="preserve">Giá trị </w:t>
      </w:r>
      <w:r w:rsidR="004A5E27" w:rsidRPr="00A93525">
        <w:rPr>
          <w:szCs w:val="24"/>
          <w:lang w:val="en-AU"/>
        </w:rPr>
        <w:t xml:space="preserve">tài khoản hưu trí được chuyển đến từ doanh nghiệp bảo hiểm khác </w:t>
      </w:r>
      <w:r w:rsidR="00306722" w:rsidRPr="00A93525">
        <w:rPr>
          <w:szCs w:val="24"/>
          <w:lang w:val="en-AU"/>
        </w:rPr>
        <w:t>và điều chỉnh theo các giao dịch</w:t>
      </w:r>
      <w:r w:rsidRPr="00A93525">
        <w:rPr>
          <w:szCs w:val="24"/>
          <w:lang w:val="en-AU"/>
        </w:rPr>
        <w:t xml:space="preserve"> sau:</w:t>
      </w:r>
    </w:p>
    <w:p w:rsidR="00B53530" w:rsidRPr="00A93525" w:rsidRDefault="004A5E27" w:rsidP="00212C2C">
      <w:pPr>
        <w:pStyle w:val="ListParagraph"/>
        <w:numPr>
          <w:ilvl w:val="0"/>
          <w:numId w:val="17"/>
        </w:numPr>
        <w:jc w:val="both"/>
        <w:rPr>
          <w:szCs w:val="24"/>
          <w:lang w:val="en-AU"/>
        </w:rPr>
      </w:pPr>
      <w:r w:rsidRPr="00A93525">
        <w:rPr>
          <w:szCs w:val="24"/>
          <w:lang w:val="en-AU"/>
        </w:rPr>
        <w:t xml:space="preserve">tăng thêm sau khi được cộng </w:t>
      </w:r>
      <w:r w:rsidR="00CF0D87" w:rsidRPr="00A93525">
        <w:rPr>
          <w:szCs w:val="24"/>
          <w:lang w:val="en-AU"/>
        </w:rPr>
        <w:t>Phí bảo hiểm cơ bản</w:t>
      </w:r>
      <w:r w:rsidR="00B53530" w:rsidRPr="00A93525">
        <w:rPr>
          <w:szCs w:val="24"/>
          <w:lang w:val="en-AU"/>
        </w:rPr>
        <w:t xml:space="preserve"> và </w:t>
      </w:r>
      <w:r w:rsidR="00CF0D87" w:rsidRPr="00A93525">
        <w:rPr>
          <w:szCs w:val="24"/>
          <w:lang w:val="en-AU"/>
        </w:rPr>
        <w:t>Phí bảo hiểm đóng thêm</w:t>
      </w:r>
      <w:r w:rsidR="00B53530" w:rsidRPr="00A93525">
        <w:rPr>
          <w:szCs w:val="24"/>
          <w:lang w:val="en-AU"/>
        </w:rPr>
        <w:t xml:space="preserve"> (nếu có); </w:t>
      </w:r>
    </w:p>
    <w:p w:rsidR="00B53530" w:rsidRPr="00A93525" w:rsidRDefault="004A5E27" w:rsidP="00212C2C">
      <w:pPr>
        <w:pStyle w:val="ListParagraph"/>
        <w:numPr>
          <w:ilvl w:val="0"/>
          <w:numId w:val="17"/>
        </w:numPr>
        <w:jc w:val="both"/>
        <w:rPr>
          <w:szCs w:val="24"/>
          <w:lang w:val="en-AU"/>
        </w:rPr>
      </w:pPr>
      <w:r w:rsidRPr="00A93525">
        <w:rPr>
          <w:szCs w:val="24"/>
          <w:lang w:val="en-AU"/>
        </w:rPr>
        <w:t xml:space="preserve">tăng thêm sau khi được cộng tiền lãi từ </w:t>
      </w:r>
      <w:r w:rsidR="00200DDF" w:rsidRPr="00A93525">
        <w:rPr>
          <w:szCs w:val="24"/>
          <w:lang w:val="en-AU"/>
        </w:rPr>
        <w:t>L</w:t>
      </w:r>
      <w:r w:rsidRPr="00A93525">
        <w:rPr>
          <w:szCs w:val="24"/>
          <w:lang w:val="en-AU"/>
        </w:rPr>
        <w:t xml:space="preserve">ãi suất ghi nhận và </w:t>
      </w:r>
      <w:r w:rsidR="005C163A" w:rsidRPr="00A93525">
        <w:rPr>
          <w:szCs w:val="24"/>
          <w:lang w:val="en-AU"/>
        </w:rPr>
        <w:t>l</w:t>
      </w:r>
      <w:r w:rsidRPr="00A93525">
        <w:rPr>
          <w:szCs w:val="24"/>
          <w:lang w:val="en-AU"/>
        </w:rPr>
        <w:t>ãi suất ưu đãi (nếu có);</w:t>
      </w:r>
      <w:r w:rsidR="00B53530" w:rsidRPr="00A93525">
        <w:rPr>
          <w:szCs w:val="24"/>
          <w:lang w:val="en-AU"/>
        </w:rPr>
        <w:t xml:space="preserve"> </w:t>
      </w:r>
    </w:p>
    <w:p w:rsidR="004A5E27" w:rsidRPr="00A93525" w:rsidRDefault="004A5E27" w:rsidP="00212C2C">
      <w:pPr>
        <w:pStyle w:val="ListParagraph"/>
        <w:numPr>
          <w:ilvl w:val="0"/>
          <w:numId w:val="17"/>
        </w:numPr>
        <w:jc w:val="both"/>
        <w:rPr>
          <w:rFonts w:eastAsia="Times New Roman"/>
          <w:szCs w:val="24"/>
        </w:rPr>
      </w:pPr>
      <w:r w:rsidRPr="00A93525">
        <w:rPr>
          <w:szCs w:val="24"/>
          <w:lang w:val="en-AU"/>
        </w:rPr>
        <w:t>tăng thêm sau khi được cộng Quyền lợi thưởng duy trì hợp đồng (nếu có);</w:t>
      </w:r>
    </w:p>
    <w:p w:rsidR="004A5E27" w:rsidRPr="00A93525" w:rsidRDefault="004A5E27" w:rsidP="00212C2C">
      <w:pPr>
        <w:pStyle w:val="ListParagraph"/>
        <w:numPr>
          <w:ilvl w:val="0"/>
          <w:numId w:val="17"/>
        </w:numPr>
        <w:jc w:val="both"/>
        <w:rPr>
          <w:rFonts w:eastAsia="Times New Roman"/>
          <w:szCs w:val="24"/>
        </w:rPr>
      </w:pPr>
      <w:r w:rsidRPr="00A93525">
        <w:rPr>
          <w:szCs w:val="24"/>
          <w:lang w:val="en-AU"/>
        </w:rPr>
        <w:t>tăng thêm sau khi được cộng Quyền lợi thưởng hoàn tất đóng phí (nếu có);</w:t>
      </w:r>
    </w:p>
    <w:p w:rsidR="004A5E27" w:rsidRPr="00A93525" w:rsidRDefault="004A5E27" w:rsidP="00212C2C">
      <w:pPr>
        <w:pStyle w:val="ListParagraph"/>
        <w:numPr>
          <w:ilvl w:val="0"/>
          <w:numId w:val="17"/>
        </w:numPr>
        <w:jc w:val="both"/>
        <w:rPr>
          <w:rFonts w:eastAsia="Times New Roman"/>
          <w:szCs w:val="24"/>
        </w:rPr>
      </w:pPr>
      <w:r w:rsidRPr="00A93525">
        <w:rPr>
          <w:szCs w:val="24"/>
          <w:lang w:val="en-AU"/>
        </w:rPr>
        <w:t>tăng thêm sau khi được cộng Quyền lợi tuổi vàng (nếu có);</w:t>
      </w:r>
    </w:p>
    <w:p w:rsidR="00B53530" w:rsidRPr="00A93525" w:rsidRDefault="004A5E27" w:rsidP="00212C2C">
      <w:pPr>
        <w:pStyle w:val="ListParagraph"/>
        <w:numPr>
          <w:ilvl w:val="0"/>
          <w:numId w:val="17"/>
        </w:numPr>
        <w:jc w:val="both"/>
        <w:rPr>
          <w:rFonts w:eastAsia="Times New Roman"/>
          <w:szCs w:val="24"/>
        </w:rPr>
      </w:pPr>
      <w:r w:rsidRPr="00A93525">
        <w:rPr>
          <w:rFonts w:eastAsia="Times New Roman"/>
          <w:szCs w:val="24"/>
        </w:rPr>
        <w:t>giảm đi sau khi trừ Phí ban đầu (nếu có);</w:t>
      </w:r>
    </w:p>
    <w:p w:rsidR="004A5E27" w:rsidRPr="00A93525" w:rsidRDefault="004A5E27" w:rsidP="00212C2C">
      <w:pPr>
        <w:pStyle w:val="ListParagraph"/>
        <w:numPr>
          <w:ilvl w:val="0"/>
          <w:numId w:val="17"/>
        </w:numPr>
        <w:jc w:val="both"/>
        <w:rPr>
          <w:rFonts w:eastAsia="Times New Roman"/>
          <w:szCs w:val="24"/>
        </w:rPr>
      </w:pPr>
      <w:r w:rsidRPr="00A93525">
        <w:rPr>
          <w:rFonts w:eastAsia="Times New Roman"/>
          <w:szCs w:val="24"/>
        </w:rPr>
        <w:t>giảm đi sau khi trừ Khoản khấu trừ hàng tháng;</w:t>
      </w:r>
    </w:p>
    <w:p w:rsidR="004A5E27" w:rsidRPr="00A93525" w:rsidRDefault="004A5E27" w:rsidP="00212C2C">
      <w:pPr>
        <w:pStyle w:val="ListParagraph"/>
        <w:numPr>
          <w:ilvl w:val="0"/>
          <w:numId w:val="17"/>
        </w:numPr>
        <w:jc w:val="both"/>
        <w:rPr>
          <w:rFonts w:eastAsia="Times New Roman"/>
          <w:szCs w:val="24"/>
        </w:rPr>
      </w:pPr>
      <w:r w:rsidRPr="00A93525">
        <w:rPr>
          <w:rFonts w:eastAsia="Times New Roman"/>
          <w:szCs w:val="24"/>
        </w:rPr>
        <w:t>giảm đi sau khi trừ các khoản tiền rút từ Giá trị tài khoản hưu trí (nếu có);</w:t>
      </w:r>
    </w:p>
    <w:p w:rsidR="004A5E27" w:rsidRPr="00A93525" w:rsidRDefault="004A5E27" w:rsidP="00212C2C">
      <w:pPr>
        <w:pStyle w:val="ListParagraph"/>
        <w:numPr>
          <w:ilvl w:val="0"/>
          <w:numId w:val="17"/>
        </w:numPr>
        <w:jc w:val="both"/>
        <w:rPr>
          <w:rFonts w:eastAsia="Times New Roman"/>
          <w:szCs w:val="24"/>
        </w:rPr>
      </w:pPr>
      <w:r w:rsidRPr="00A93525">
        <w:rPr>
          <w:rFonts w:eastAsia="Times New Roman"/>
          <w:szCs w:val="24"/>
        </w:rPr>
        <w:t xml:space="preserve">giảm đi sau khi trừ Quyền lợi hưu trí </w:t>
      </w:r>
      <w:r w:rsidR="003C61A7" w:rsidRPr="00A93525">
        <w:rPr>
          <w:rFonts w:eastAsia="Times New Roman"/>
          <w:szCs w:val="24"/>
        </w:rPr>
        <w:t xml:space="preserve">đã chi trả </w:t>
      </w:r>
      <w:r w:rsidRPr="00A93525">
        <w:rPr>
          <w:rFonts w:eastAsia="Times New Roman"/>
          <w:szCs w:val="24"/>
        </w:rPr>
        <w:t>(nếu có).</w:t>
      </w:r>
    </w:p>
    <w:p w:rsidR="00410388" w:rsidRPr="00A93525" w:rsidRDefault="00E92DBE" w:rsidP="00A93525">
      <w:pPr>
        <w:pStyle w:val="Heading1"/>
        <w:keepNext w:val="0"/>
        <w:keepLines w:val="0"/>
        <w:spacing w:before="0"/>
        <w:jc w:val="both"/>
        <w:rPr>
          <w:szCs w:val="24"/>
        </w:rPr>
      </w:pPr>
      <w:bookmarkStart w:id="86" w:name="_Toc496706469"/>
      <w:bookmarkStart w:id="87" w:name="_Toc496717753"/>
      <w:bookmarkStart w:id="88" w:name="_Toc498701186"/>
      <w:r w:rsidRPr="00A93525">
        <w:rPr>
          <w:caps w:val="0"/>
          <w:szCs w:val="24"/>
        </w:rPr>
        <w:t>CÁC THAY ĐỔI TRONG QUÁ TRÌNH THỰC HIỆN HỢP ĐỒNG BẢO HIỂM</w:t>
      </w:r>
      <w:bookmarkEnd w:id="86"/>
      <w:bookmarkEnd w:id="87"/>
      <w:bookmarkEnd w:id="88"/>
    </w:p>
    <w:p w:rsidR="00DB0DBD" w:rsidRPr="00A93525" w:rsidRDefault="00DB0DBD" w:rsidP="00A93525">
      <w:pPr>
        <w:pStyle w:val="Heading2"/>
        <w:keepNext w:val="0"/>
        <w:keepLines w:val="0"/>
        <w:jc w:val="both"/>
        <w:rPr>
          <w:rFonts w:eastAsia="Times New Roman"/>
          <w:szCs w:val="24"/>
        </w:rPr>
      </w:pPr>
      <w:r w:rsidRPr="00A93525">
        <w:rPr>
          <w:rFonts w:eastAsia="Times New Roman"/>
          <w:szCs w:val="24"/>
        </w:rPr>
        <w:t xml:space="preserve">Thay </w:t>
      </w:r>
      <w:r w:rsidRPr="00A93525">
        <w:rPr>
          <w:rFonts w:eastAsia="Times New Roman"/>
          <w:szCs w:val="24"/>
          <w:lang w:val="vi-VN"/>
        </w:rPr>
        <w:t>đổi người thụ hưởng</w:t>
      </w:r>
    </w:p>
    <w:p w:rsidR="00D82498" w:rsidRPr="00A93525" w:rsidRDefault="00DB0DBD" w:rsidP="00212C2C">
      <w:pPr>
        <w:jc w:val="both"/>
        <w:rPr>
          <w:szCs w:val="24"/>
        </w:rPr>
      </w:pPr>
      <w:r w:rsidRPr="00A93525">
        <w:rPr>
          <w:szCs w:val="24"/>
        </w:rPr>
        <w:t xml:space="preserve">Trong thời gian </w:t>
      </w:r>
      <w:r w:rsidR="00701135" w:rsidRPr="00A93525">
        <w:rPr>
          <w:szCs w:val="24"/>
        </w:rPr>
        <w:t xml:space="preserve">Hợp đồng bảo hiểm hưu trí </w:t>
      </w:r>
      <w:r w:rsidRPr="00A93525">
        <w:rPr>
          <w:szCs w:val="24"/>
        </w:rPr>
        <w:t xml:space="preserve">có hiệu lực, </w:t>
      </w:r>
      <w:r w:rsidR="00E143D8" w:rsidRPr="00A93525">
        <w:rPr>
          <w:szCs w:val="24"/>
        </w:rPr>
        <w:t>Người được</w:t>
      </w:r>
      <w:r w:rsidRPr="00A93525">
        <w:rPr>
          <w:szCs w:val="24"/>
        </w:rPr>
        <w:t xml:space="preserve"> bảo hiểm có thể gửi yêu cầu thay đổi (những) Người thụ hưởng hoặc tỉ lệ thụ hưởng của mỗi Người thụ hưởng của </w:t>
      </w:r>
      <w:r w:rsidR="00701135" w:rsidRPr="00A93525">
        <w:rPr>
          <w:szCs w:val="24"/>
        </w:rPr>
        <w:t xml:space="preserve">Hợp đồng bảo hiểm hưu trí </w:t>
      </w:r>
      <w:r w:rsidRPr="00A93525">
        <w:rPr>
          <w:szCs w:val="24"/>
        </w:rPr>
        <w:t xml:space="preserve">cho Công ty. Việc thay đổi chỉ có hiệu lực khi Công ty </w:t>
      </w:r>
      <w:r w:rsidR="00D82498" w:rsidRPr="00A93525">
        <w:rPr>
          <w:rFonts w:eastAsia="Times New Roman" w:cs="Times New Roman"/>
          <w:szCs w:val="24"/>
        </w:rPr>
        <w:t xml:space="preserve">xác nhận bằng văn bản. </w:t>
      </w:r>
      <w:r w:rsidRPr="00A93525">
        <w:rPr>
          <w:szCs w:val="24"/>
        </w:rPr>
        <w:t xml:space="preserve">Công ty không chịu trách nhiệm về tính hợp pháp cũng như tranh chấp (nếu có) của </w:t>
      </w:r>
      <w:r w:rsidR="00E143D8" w:rsidRPr="00A93525">
        <w:rPr>
          <w:szCs w:val="24"/>
        </w:rPr>
        <w:t>Người được</w:t>
      </w:r>
      <w:r w:rsidRPr="00A93525">
        <w:rPr>
          <w:szCs w:val="24"/>
        </w:rPr>
        <w:t xml:space="preserve"> bảo hiểm hoặc những người liên quan đến việc chỉ định thay đổi Người thụ hưởng. </w:t>
      </w:r>
    </w:p>
    <w:p w:rsidR="00E143D8" w:rsidRPr="00A93525" w:rsidRDefault="00E143D8" w:rsidP="00A93525">
      <w:pPr>
        <w:pStyle w:val="Heading2"/>
        <w:keepNext w:val="0"/>
        <w:keepLines w:val="0"/>
        <w:jc w:val="both"/>
        <w:rPr>
          <w:b w:val="0"/>
          <w:szCs w:val="24"/>
          <w:lang w:val="vi-VN"/>
        </w:rPr>
      </w:pPr>
      <w:r w:rsidRPr="00A93525">
        <w:rPr>
          <w:szCs w:val="24"/>
          <w:lang w:val="vi-VN"/>
        </w:rPr>
        <w:t>Thay đổi nghề nghiệp/nơi cư trú/ra khỏi lãnh thổ Việt Nam</w:t>
      </w:r>
    </w:p>
    <w:p w:rsidR="00E143D8" w:rsidRPr="00A93525" w:rsidRDefault="00E143D8" w:rsidP="00212C2C">
      <w:pPr>
        <w:ind w:right="-27"/>
        <w:jc w:val="both"/>
        <w:rPr>
          <w:rFonts w:cs="Times New Roman"/>
          <w:szCs w:val="24"/>
        </w:rPr>
      </w:pPr>
      <w:r w:rsidRPr="00A93525">
        <w:rPr>
          <w:rFonts w:cs="Times New Roman"/>
          <w:szCs w:val="24"/>
        </w:rPr>
        <w:t>Trường hợp Bên mua bảo hiểm và/hoặc Người được bảo hiểm thay đổi thông tin liên hệ, thông tin cá nhân, nghề nghiệp, Bên mua bảo hiểm</w:t>
      </w:r>
      <w:r w:rsidR="00B234DE" w:rsidRPr="00A93525">
        <w:rPr>
          <w:rFonts w:cs="Times New Roman"/>
          <w:szCs w:val="24"/>
        </w:rPr>
        <w:t xml:space="preserve"> và</w:t>
      </w:r>
      <w:r w:rsidR="00882663" w:rsidRPr="00A93525">
        <w:rPr>
          <w:rFonts w:cs="Times New Roman"/>
          <w:szCs w:val="24"/>
        </w:rPr>
        <w:t>/</w:t>
      </w:r>
      <w:r w:rsidR="00B234DE" w:rsidRPr="00A93525">
        <w:rPr>
          <w:rFonts w:cs="Times New Roman"/>
          <w:szCs w:val="24"/>
        </w:rPr>
        <w:t xml:space="preserve">hoặc </w:t>
      </w:r>
      <w:r w:rsidR="00882663" w:rsidRPr="00A93525">
        <w:rPr>
          <w:rFonts w:cs="Times New Roman"/>
          <w:szCs w:val="24"/>
        </w:rPr>
        <w:t>Người được bảo hiểm</w:t>
      </w:r>
      <w:r w:rsidRPr="00A93525">
        <w:rPr>
          <w:rFonts w:cs="Times New Roman"/>
          <w:szCs w:val="24"/>
        </w:rPr>
        <w:t xml:space="preserve"> phải thông báo bằng văn bản cho Công ty trong vòng 30 ngày kể từ ngày có thay đổi.</w:t>
      </w:r>
    </w:p>
    <w:p w:rsidR="00E143D8" w:rsidRPr="00A93525" w:rsidRDefault="00E143D8" w:rsidP="00212C2C">
      <w:pPr>
        <w:ind w:right="-27"/>
        <w:jc w:val="both"/>
        <w:rPr>
          <w:rFonts w:cs="Times New Roman"/>
          <w:szCs w:val="24"/>
        </w:rPr>
      </w:pPr>
      <w:r w:rsidRPr="00A93525">
        <w:rPr>
          <w:rFonts w:cs="Times New Roman"/>
          <w:szCs w:val="24"/>
        </w:rPr>
        <w:t>Nếu Người được bảo hiểm ra khỏi phạm vi lãnh thổ Việt Nam trong thời gian 3 tháng trở lên, Người được bảo hiểm phải thông báo bằng văn bản cho Công ty tối thiểu 30 ngày trước ngày Người được bảo hiểm xuất cảnh.</w:t>
      </w:r>
    </w:p>
    <w:p w:rsidR="00E143D8" w:rsidRPr="00A93525" w:rsidRDefault="00E143D8" w:rsidP="00212C2C">
      <w:pPr>
        <w:jc w:val="both"/>
        <w:rPr>
          <w:rFonts w:cs="Times New Roman"/>
          <w:szCs w:val="24"/>
        </w:rPr>
      </w:pPr>
      <w:r w:rsidRPr="00A93525">
        <w:rPr>
          <w:rFonts w:cs="Times New Roman"/>
          <w:szCs w:val="24"/>
        </w:rPr>
        <w:t xml:space="preserve">Đối với các thay đổi nêu trên, Công ty có thể thẩm định lại rủi ro có thể được bảo hiểm để (i) xác định lại mức Phí bảo hiểm rủi ro, (ii) loại trừ trách nhiệm bảo hiểm, (iii) giảm quyền lợi bảo hiểm, hoặc (iv) </w:t>
      </w:r>
      <w:r w:rsidR="00EA21B1" w:rsidRPr="00A93525">
        <w:rPr>
          <w:rFonts w:cs="Times New Roman"/>
          <w:szCs w:val="24"/>
        </w:rPr>
        <w:t xml:space="preserve">tạm thời đóng tài khoản theo quy định tại Điều </w:t>
      </w:r>
      <w:r w:rsidR="00396F4E" w:rsidRPr="00A93525">
        <w:rPr>
          <w:rFonts w:cs="Times New Roman"/>
          <w:szCs w:val="24"/>
        </w:rPr>
        <w:t>15.3</w:t>
      </w:r>
      <w:r w:rsidR="00361AD2" w:rsidRPr="00A93525">
        <w:rPr>
          <w:rFonts w:cs="Times New Roman"/>
          <w:szCs w:val="24"/>
        </w:rPr>
        <w:t>.</w:t>
      </w:r>
      <w:r w:rsidRPr="00A93525">
        <w:rPr>
          <w:rFonts w:cs="Times New Roman"/>
          <w:szCs w:val="24"/>
        </w:rPr>
        <w:t xml:space="preserve"> </w:t>
      </w:r>
    </w:p>
    <w:p w:rsidR="00E143D8" w:rsidRPr="00A93525" w:rsidRDefault="00E143D8" w:rsidP="00A93525">
      <w:pPr>
        <w:pStyle w:val="Heading2"/>
        <w:keepNext w:val="0"/>
        <w:keepLines w:val="0"/>
        <w:jc w:val="both"/>
        <w:rPr>
          <w:szCs w:val="24"/>
          <w:lang w:val="en-AU"/>
        </w:rPr>
      </w:pPr>
      <w:bookmarkStart w:id="89" w:name="_Ref494724460"/>
      <w:r w:rsidRPr="00A93525">
        <w:rPr>
          <w:szCs w:val="24"/>
          <w:lang w:val="en-AU"/>
        </w:rPr>
        <w:t>Tạm thời đóng tài khoản</w:t>
      </w:r>
      <w:bookmarkEnd w:id="89"/>
    </w:p>
    <w:p w:rsidR="00E143D8" w:rsidRPr="00A93525" w:rsidRDefault="00E143D8" w:rsidP="00212C2C">
      <w:pPr>
        <w:jc w:val="both"/>
        <w:rPr>
          <w:szCs w:val="24"/>
          <w:lang w:val="en-AU"/>
        </w:rPr>
      </w:pPr>
      <w:r w:rsidRPr="00A93525">
        <w:rPr>
          <w:szCs w:val="24"/>
          <w:lang w:val="en-AU"/>
        </w:rPr>
        <w:lastRenderedPageBreak/>
        <w:t xml:space="preserve">Trong thời gian Hợp đồng bảo hiểm hưu trí có hiệu lực và trong Thời hạn tích lũy, </w:t>
      </w:r>
      <w:r w:rsidR="00883F87" w:rsidRPr="00A93525">
        <w:rPr>
          <w:szCs w:val="24"/>
          <w:lang w:val="en-AU"/>
        </w:rPr>
        <w:t xml:space="preserve">Bên mua bảo hiểm </w:t>
      </w:r>
      <w:r w:rsidRPr="00A93525">
        <w:rPr>
          <w:szCs w:val="24"/>
          <w:lang w:val="en-AU"/>
        </w:rPr>
        <w:t>có thể yêu cầu tạm thời đóng tài khoản hưu trí bằng việc gửi thông báo đến Công ty. Việc tạm thời đóng tài khoản sẽ có hiệu lực vào Ngày kỷ niệm</w:t>
      </w:r>
      <w:r w:rsidR="00C53581" w:rsidRPr="00A93525">
        <w:rPr>
          <w:szCs w:val="24"/>
          <w:lang w:val="en-AU"/>
        </w:rPr>
        <w:t xml:space="preserve"> </w:t>
      </w:r>
      <w:r w:rsidR="007F26A9" w:rsidRPr="00A93525">
        <w:rPr>
          <w:szCs w:val="24"/>
          <w:lang w:val="en-AU"/>
        </w:rPr>
        <w:t>hàng</w:t>
      </w:r>
      <w:r w:rsidRPr="00A93525">
        <w:rPr>
          <w:szCs w:val="24"/>
          <w:lang w:val="en-AU"/>
        </w:rPr>
        <w:t xml:space="preserve"> tháng ngay sau khi Công ty chấp nhận yêu cầu tạm thời đóng tài khoản.</w:t>
      </w:r>
    </w:p>
    <w:p w:rsidR="00E143D8" w:rsidRPr="00A93525" w:rsidRDefault="00E143D8" w:rsidP="00212C2C">
      <w:pPr>
        <w:jc w:val="both"/>
        <w:rPr>
          <w:szCs w:val="24"/>
          <w:lang w:val="en-AU"/>
        </w:rPr>
      </w:pPr>
      <w:r w:rsidRPr="00A93525">
        <w:rPr>
          <w:szCs w:val="24"/>
          <w:lang w:val="en-AU"/>
        </w:rPr>
        <w:t>Trong thời gian tạm thời đóng tài khoản, Công ty sẽ không trừ Khoản khấu trừ hàng tháng từ Giá trị tài khoản hưu trí</w:t>
      </w:r>
      <w:r w:rsidR="001E7A99" w:rsidRPr="00A93525">
        <w:rPr>
          <w:szCs w:val="24"/>
          <w:lang w:val="en-AU"/>
        </w:rPr>
        <w:t xml:space="preserve"> và </w:t>
      </w:r>
      <w:r w:rsidRPr="00A93525">
        <w:rPr>
          <w:szCs w:val="24"/>
          <w:lang w:val="en-AU"/>
        </w:rPr>
        <w:t xml:space="preserve">Giá trị tài khoản hưu trí </w:t>
      </w:r>
      <w:r w:rsidR="00883F87" w:rsidRPr="00A93525">
        <w:rPr>
          <w:szCs w:val="24"/>
          <w:lang w:val="en-AU"/>
        </w:rPr>
        <w:t xml:space="preserve">vẫn được tích lũy </w:t>
      </w:r>
      <w:r w:rsidRPr="00A93525">
        <w:rPr>
          <w:szCs w:val="24"/>
          <w:lang w:val="en-AU"/>
        </w:rPr>
        <w:t xml:space="preserve">theo mức </w:t>
      </w:r>
      <w:r w:rsidR="003E512F" w:rsidRPr="00A93525">
        <w:rPr>
          <w:szCs w:val="24"/>
          <w:lang w:val="en-AU"/>
        </w:rPr>
        <w:t>Lãi suất ghi nhận</w:t>
      </w:r>
      <w:r w:rsidR="001E7A99" w:rsidRPr="00A93525">
        <w:rPr>
          <w:szCs w:val="24"/>
          <w:lang w:val="en-AU"/>
        </w:rPr>
        <w:t>, đồng thời, các quyền lợi bảo hiểm còn lại sẽ tạm đình chỉ</w:t>
      </w:r>
      <w:r w:rsidR="004122D1" w:rsidRPr="00A93525">
        <w:rPr>
          <w:szCs w:val="24"/>
          <w:lang w:val="en-AU"/>
        </w:rPr>
        <w:t xml:space="preserve"> thực hiện</w:t>
      </w:r>
      <w:r w:rsidR="001E7A99" w:rsidRPr="00A93525">
        <w:rPr>
          <w:szCs w:val="24"/>
          <w:lang w:val="en-AU"/>
        </w:rPr>
        <w:t>.</w:t>
      </w:r>
    </w:p>
    <w:p w:rsidR="00E143D8" w:rsidRPr="00A93525" w:rsidRDefault="00E143D8" w:rsidP="00212C2C">
      <w:pPr>
        <w:jc w:val="both"/>
        <w:rPr>
          <w:szCs w:val="24"/>
          <w:lang w:val="en-AU"/>
        </w:rPr>
      </w:pPr>
      <w:r w:rsidRPr="00A93525">
        <w:rPr>
          <w:szCs w:val="24"/>
          <w:lang w:val="en-AU"/>
        </w:rPr>
        <w:t xml:space="preserve">Nếu Người được bảo hiểm tử vong trong thời gian tạm thời đóng tài khoản, Công ty sẽ chi trả </w:t>
      </w:r>
      <w:r w:rsidR="00FA78D9" w:rsidRPr="00A93525">
        <w:rPr>
          <w:szCs w:val="24"/>
          <w:lang w:val="en-AU"/>
        </w:rPr>
        <w:t xml:space="preserve">giá trị lớn hơn giữa </w:t>
      </w:r>
      <w:r w:rsidRPr="00A93525">
        <w:rPr>
          <w:szCs w:val="24"/>
          <w:lang w:val="en-AU"/>
        </w:rPr>
        <w:t xml:space="preserve">Quyền lợi </w:t>
      </w:r>
      <w:r w:rsidR="00FA78D9" w:rsidRPr="00A93525">
        <w:rPr>
          <w:szCs w:val="24"/>
          <w:lang w:val="en-AU"/>
        </w:rPr>
        <w:t>hỗ trợ chi phí hậu sự</w:t>
      </w:r>
      <w:r w:rsidRPr="00A93525">
        <w:rPr>
          <w:szCs w:val="24"/>
          <w:lang w:val="en-AU"/>
        </w:rPr>
        <w:t xml:space="preserve"> </w:t>
      </w:r>
      <w:r w:rsidR="00FA78D9" w:rsidRPr="00A93525">
        <w:rPr>
          <w:szCs w:val="24"/>
          <w:lang w:val="en-AU"/>
        </w:rPr>
        <w:t>và</w:t>
      </w:r>
      <w:r w:rsidRPr="00A93525">
        <w:rPr>
          <w:szCs w:val="24"/>
          <w:lang w:val="en-AU"/>
        </w:rPr>
        <w:t xml:space="preserve"> Giá trị tài khoản hưu trí tại thời điểm </w:t>
      </w:r>
      <w:r w:rsidR="00FA78D9" w:rsidRPr="00A93525">
        <w:rPr>
          <w:szCs w:val="24"/>
          <w:lang w:val="en-AU"/>
        </w:rPr>
        <w:t xml:space="preserve">Người được bảo hiểm </w:t>
      </w:r>
      <w:r w:rsidRPr="00A93525">
        <w:rPr>
          <w:szCs w:val="24"/>
          <w:lang w:val="en-AU"/>
        </w:rPr>
        <w:t>tử vong.</w:t>
      </w:r>
    </w:p>
    <w:p w:rsidR="00E143D8" w:rsidRPr="00A93525" w:rsidRDefault="00E143D8" w:rsidP="00212C2C">
      <w:pPr>
        <w:jc w:val="both"/>
        <w:rPr>
          <w:szCs w:val="24"/>
          <w:lang w:val="en-AU"/>
        </w:rPr>
      </w:pPr>
      <w:r w:rsidRPr="00A93525">
        <w:rPr>
          <w:szCs w:val="24"/>
          <w:lang w:val="en-AU"/>
        </w:rPr>
        <w:t xml:space="preserve">Nếu Người được bảo hiểm bị Thương tật toàn bộ vĩnh viễn trong thời gian tạm thời đóng tài khoản, Công ty sẽ </w:t>
      </w:r>
      <w:r w:rsidR="00FA78D9" w:rsidRPr="00A93525">
        <w:rPr>
          <w:szCs w:val="24"/>
          <w:lang w:val="en-AU"/>
        </w:rPr>
        <w:t>chi</w:t>
      </w:r>
      <w:r w:rsidRPr="00A93525">
        <w:rPr>
          <w:szCs w:val="24"/>
          <w:lang w:val="en-AU"/>
        </w:rPr>
        <w:t xml:space="preserve"> trả Giá trị tài khoản hưu trí tại thời điểm </w:t>
      </w:r>
      <w:r w:rsidR="00FA78D9" w:rsidRPr="00A93525">
        <w:rPr>
          <w:szCs w:val="24"/>
          <w:lang w:val="en-AU"/>
        </w:rPr>
        <w:t xml:space="preserve">Người được bảo hiểm </w:t>
      </w:r>
      <w:r w:rsidRPr="00A93525">
        <w:rPr>
          <w:szCs w:val="24"/>
          <w:lang w:val="en-AU"/>
        </w:rPr>
        <w:t>bị Thương tật toàn bộ vĩnh viễn.</w:t>
      </w:r>
    </w:p>
    <w:p w:rsidR="00FA78D9" w:rsidRPr="00A93525" w:rsidRDefault="00FA78D9" w:rsidP="00A93525">
      <w:pPr>
        <w:pStyle w:val="Heading2"/>
        <w:keepNext w:val="0"/>
        <w:keepLines w:val="0"/>
        <w:jc w:val="both"/>
        <w:rPr>
          <w:szCs w:val="24"/>
          <w:lang w:val="en-AU"/>
        </w:rPr>
      </w:pPr>
      <w:r w:rsidRPr="00A93525">
        <w:rPr>
          <w:szCs w:val="24"/>
          <w:lang w:val="en-AU"/>
        </w:rPr>
        <w:t>Kích hoạt tài khoản</w:t>
      </w:r>
    </w:p>
    <w:p w:rsidR="00E143D8" w:rsidRPr="00A93525" w:rsidRDefault="00883F87" w:rsidP="00212C2C">
      <w:pPr>
        <w:jc w:val="both"/>
        <w:rPr>
          <w:szCs w:val="24"/>
          <w:lang w:val="en-AU"/>
        </w:rPr>
      </w:pPr>
      <w:r w:rsidRPr="00A93525">
        <w:rPr>
          <w:szCs w:val="24"/>
          <w:lang w:val="en-AU"/>
        </w:rPr>
        <w:t xml:space="preserve">Bên mua bảo hiểm </w:t>
      </w:r>
      <w:r w:rsidR="00E143D8" w:rsidRPr="00A93525">
        <w:rPr>
          <w:szCs w:val="24"/>
          <w:lang w:val="en-AU"/>
        </w:rPr>
        <w:t>có thể kích hoạt lại tài khoản hưu trí sau thời gian tạm thời đóng tài khoản bằng cách g</w:t>
      </w:r>
      <w:r w:rsidR="00B51509" w:rsidRPr="00A93525">
        <w:rPr>
          <w:szCs w:val="24"/>
          <w:lang w:val="en-AU"/>
        </w:rPr>
        <w:t>ử</w:t>
      </w:r>
      <w:r w:rsidR="00E143D8" w:rsidRPr="00A93525">
        <w:rPr>
          <w:szCs w:val="24"/>
          <w:lang w:val="en-AU"/>
        </w:rPr>
        <w:t xml:space="preserve">i yêu cầu kích hoạt tài khoản. Sau khi nhận được văn bản yêu cầu kích hoạt tài khoản và </w:t>
      </w:r>
      <w:r w:rsidR="00E70673" w:rsidRPr="00730EA4">
        <w:rPr>
          <w:szCs w:val="24"/>
        </w:rPr>
        <w:t xml:space="preserve">tối thiểu </w:t>
      </w:r>
      <w:r w:rsidR="00E70673">
        <w:rPr>
          <w:szCs w:val="24"/>
        </w:rPr>
        <w:t>1 kỳ Phí bảo hiểm cơ bản hoặc 3 kỳ Phí bảo hiểm cơ bản nếu là định kỳ đóng phí tháng</w:t>
      </w:r>
      <w:bookmarkStart w:id="90" w:name="_GoBack"/>
      <w:bookmarkEnd w:id="90"/>
      <w:r w:rsidR="00E143D8" w:rsidRPr="00A93525">
        <w:rPr>
          <w:szCs w:val="24"/>
          <w:lang w:val="en-AU"/>
        </w:rPr>
        <w:t xml:space="preserve">, tùy thuộc vào kết quả thẩm định, tài khoản sẽ được kích hoạt. Khoản khấu trừ hàng tháng sẽ tiếp tục được khấu trừ từ Giá trị tài khoản hưu trí kể từ Ngày kỷ niệm </w:t>
      </w:r>
      <w:r w:rsidR="00C84B91" w:rsidRPr="00A93525">
        <w:rPr>
          <w:szCs w:val="24"/>
          <w:lang w:val="en-AU"/>
        </w:rPr>
        <w:t>h</w:t>
      </w:r>
      <w:r w:rsidR="00C25BF1" w:rsidRPr="00A93525">
        <w:rPr>
          <w:szCs w:val="24"/>
          <w:lang w:val="en-AU"/>
        </w:rPr>
        <w:t>à</w:t>
      </w:r>
      <w:r w:rsidR="00C84B91" w:rsidRPr="00A93525">
        <w:rPr>
          <w:szCs w:val="24"/>
          <w:lang w:val="en-AU"/>
        </w:rPr>
        <w:t xml:space="preserve">ng </w:t>
      </w:r>
      <w:r w:rsidR="00E143D8" w:rsidRPr="00A93525">
        <w:rPr>
          <w:szCs w:val="24"/>
          <w:lang w:val="en-AU"/>
        </w:rPr>
        <w:t xml:space="preserve">tháng ngay sau khi Công ty kích hoạt tài khoản. </w:t>
      </w:r>
    </w:p>
    <w:p w:rsidR="000435D8" w:rsidRPr="00A93525" w:rsidRDefault="000F4265" w:rsidP="00212C2C">
      <w:pPr>
        <w:jc w:val="both"/>
        <w:rPr>
          <w:szCs w:val="24"/>
          <w:lang w:val="en-AU"/>
        </w:rPr>
      </w:pPr>
      <w:r w:rsidRPr="00A93525">
        <w:rPr>
          <w:szCs w:val="24"/>
          <w:lang w:val="en-AU"/>
        </w:rPr>
        <w:t xml:space="preserve">Tại Tuổi nghỉ hưu, tài khoản hưu trí </w:t>
      </w:r>
      <w:r w:rsidR="000435D8" w:rsidRPr="00A93525">
        <w:rPr>
          <w:szCs w:val="24"/>
          <w:lang w:val="en-AU"/>
        </w:rPr>
        <w:t xml:space="preserve">cũng </w:t>
      </w:r>
      <w:r w:rsidRPr="00A93525">
        <w:rPr>
          <w:szCs w:val="24"/>
          <w:lang w:val="en-AU"/>
        </w:rPr>
        <w:t>sẽ được tự động kích hoạt</w:t>
      </w:r>
      <w:r w:rsidR="000435D8" w:rsidRPr="00A93525">
        <w:rPr>
          <w:szCs w:val="24"/>
          <w:lang w:val="en-AU"/>
        </w:rPr>
        <w:t xml:space="preserve"> và Quyền lợi hưu trí được quy định tại Điều 5.1 sẽ bắt đầu được chi trả.</w:t>
      </w:r>
    </w:p>
    <w:p w:rsidR="000C2D70" w:rsidRPr="00A93525" w:rsidRDefault="000C2D70" w:rsidP="00A93525">
      <w:pPr>
        <w:pStyle w:val="Heading2"/>
        <w:keepNext w:val="0"/>
        <w:keepLines w:val="0"/>
        <w:jc w:val="both"/>
        <w:rPr>
          <w:szCs w:val="24"/>
          <w:lang w:val="en-AU"/>
        </w:rPr>
      </w:pPr>
      <w:r w:rsidRPr="00A93525">
        <w:rPr>
          <w:szCs w:val="24"/>
          <w:lang w:val="en-AU"/>
        </w:rPr>
        <w:t>Tham gia sản phẩm bổ sung</w:t>
      </w:r>
    </w:p>
    <w:p w:rsidR="00DB0DBD" w:rsidRPr="00A93525" w:rsidRDefault="000C2D70" w:rsidP="00212C2C">
      <w:pPr>
        <w:jc w:val="both"/>
        <w:rPr>
          <w:szCs w:val="24"/>
          <w:lang w:val="en-AU"/>
        </w:rPr>
      </w:pPr>
      <w:r w:rsidRPr="00A93525">
        <w:rPr>
          <w:szCs w:val="24"/>
          <w:lang w:val="en-AU"/>
        </w:rPr>
        <w:t xml:space="preserve">Người được bảo hiểm có thể tham gia thêm (các) sản phẩm bổ sung với điều kiện: </w:t>
      </w:r>
    </w:p>
    <w:p w:rsidR="000C2D70" w:rsidRPr="00A93525" w:rsidRDefault="000C2D70" w:rsidP="00212C2C">
      <w:pPr>
        <w:pStyle w:val="ListParagraph"/>
        <w:numPr>
          <w:ilvl w:val="0"/>
          <w:numId w:val="16"/>
        </w:numPr>
        <w:jc w:val="both"/>
        <w:rPr>
          <w:szCs w:val="24"/>
        </w:rPr>
      </w:pPr>
      <w:r w:rsidRPr="00A93525">
        <w:rPr>
          <w:szCs w:val="24"/>
        </w:rPr>
        <w:t>Người được bảo hiểm đáp ứng đủ các yêu cầu về thẩm định; và</w:t>
      </w:r>
    </w:p>
    <w:p w:rsidR="000C2D70" w:rsidRPr="00A93525" w:rsidRDefault="008F1A45" w:rsidP="00212C2C">
      <w:pPr>
        <w:pStyle w:val="ListParagraph"/>
        <w:numPr>
          <w:ilvl w:val="0"/>
          <w:numId w:val="16"/>
        </w:numPr>
        <w:jc w:val="both"/>
        <w:rPr>
          <w:szCs w:val="24"/>
        </w:rPr>
      </w:pPr>
      <w:r>
        <w:rPr>
          <w:szCs w:val="24"/>
        </w:rPr>
        <w:t>Ít nhất 1 kỳ p</w:t>
      </w:r>
      <w:r w:rsidR="000C2D70" w:rsidRPr="00A93525">
        <w:rPr>
          <w:szCs w:val="24"/>
        </w:rPr>
        <w:t xml:space="preserve">hí bảo hiểm của (các) sản phẩm bổ sung được đóng đầy đủ theo </w:t>
      </w:r>
      <w:r w:rsidR="00982475">
        <w:rPr>
          <w:szCs w:val="24"/>
        </w:rPr>
        <w:t>định kỳ đóng phí của Hợp đồng bảo hiểm hưu trí</w:t>
      </w:r>
      <w:r w:rsidR="000C2D70" w:rsidRPr="00A93525">
        <w:rPr>
          <w:szCs w:val="24"/>
        </w:rPr>
        <w:t>; và</w:t>
      </w:r>
    </w:p>
    <w:p w:rsidR="000C2D70" w:rsidRPr="00A93525" w:rsidRDefault="000C2D70" w:rsidP="00212C2C">
      <w:pPr>
        <w:pStyle w:val="ListParagraph"/>
        <w:numPr>
          <w:ilvl w:val="0"/>
          <w:numId w:val="16"/>
        </w:numPr>
        <w:jc w:val="both"/>
        <w:rPr>
          <w:szCs w:val="24"/>
        </w:rPr>
      </w:pPr>
      <w:r w:rsidRPr="00A93525">
        <w:rPr>
          <w:szCs w:val="24"/>
        </w:rPr>
        <w:t>(Các) sản phẩm bổ sung này đang được Công ty cung cấp tại thời điểm yêu cầu tham gia.</w:t>
      </w:r>
    </w:p>
    <w:p w:rsidR="008B1E98" w:rsidRPr="00A93525" w:rsidRDefault="008B1E98" w:rsidP="00212C2C">
      <w:pPr>
        <w:jc w:val="both"/>
        <w:rPr>
          <w:szCs w:val="24"/>
        </w:rPr>
      </w:pPr>
      <w:r w:rsidRPr="00A93525">
        <w:rPr>
          <w:szCs w:val="24"/>
        </w:rPr>
        <w:t>Phí bảo hiểm của (các) sản phẩm bổ sung (nếu có) không được phân bổ vào Giá trị tài khoản hưu trí và không được khấu trừ từ Giá trị tài khoản hưu trí. Phí bảo hiểm của (các) sản phẩm bổ sung chỉ được đóng sau khi Phí bảo hiểm cơ bản được đóng đầy đủ.</w:t>
      </w:r>
    </w:p>
    <w:p w:rsidR="008B1E98" w:rsidRPr="00A93525" w:rsidRDefault="008B1E98" w:rsidP="00212C2C">
      <w:pPr>
        <w:jc w:val="both"/>
        <w:rPr>
          <w:szCs w:val="24"/>
        </w:rPr>
      </w:pPr>
      <w:r w:rsidRPr="00A93525">
        <w:rPr>
          <w:szCs w:val="24"/>
        </w:rPr>
        <w:t>(Các) sản phẩm bổ sung (nếu có) sẽ mất hiệu lực nếu phí bảo hiểm của (các) sản phẩm bổ sung không được đóng sau 60 ngày kể từ Ngày đến hạn đóng phí</w:t>
      </w:r>
      <w:r w:rsidR="009703B0" w:rsidRPr="00A93525">
        <w:rPr>
          <w:szCs w:val="24"/>
        </w:rPr>
        <w:t xml:space="preserve"> hoặc </w:t>
      </w:r>
      <w:r w:rsidR="00124829" w:rsidRPr="00A93525">
        <w:rPr>
          <w:szCs w:val="24"/>
        </w:rPr>
        <w:t>ngay khi tài khoản hưu trí bị đóng tạm thời.</w:t>
      </w:r>
      <w:r w:rsidRPr="00A93525">
        <w:rPr>
          <w:szCs w:val="24"/>
        </w:rPr>
        <w:t xml:space="preserve"> </w:t>
      </w:r>
    </w:p>
    <w:p w:rsidR="007908FB" w:rsidRPr="00A93525" w:rsidRDefault="00E92DBE" w:rsidP="00A93525">
      <w:pPr>
        <w:pStyle w:val="Heading1"/>
        <w:keepNext w:val="0"/>
        <w:keepLines w:val="0"/>
        <w:spacing w:before="0"/>
        <w:jc w:val="both"/>
        <w:rPr>
          <w:szCs w:val="24"/>
        </w:rPr>
      </w:pPr>
      <w:bookmarkStart w:id="91" w:name="_Toc496706470"/>
      <w:bookmarkStart w:id="92" w:name="_Toc496717754"/>
      <w:bookmarkStart w:id="93" w:name="_Toc498701187"/>
      <w:r w:rsidRPr="00A93525">
        <w:rPr>
          <w:caps w:val="0"/>
          <w:szCs w:val="24"/>
        </w:rPr>
        <w:t>THỦ TỤC GIẢI QUYẾT QUYỀN LỢI BẢO HIỂM</w:t>
      </w:r>
      <w:bookmarkEnd w:id="91"/>
      <w:bookmarkEnd w:id="92"/>
      <w:bookmarkEnd w:id="93"/>
    </w:p>
    <w:p w:rsidR="00A67320" w:rsidRPr="00A93525" w:rsidRDefault="00A67320" w:rsidP="00A93525">
      <w:pPr>
        <w:pStyle w:val="Heading2"/>
        <w:keepNext w:val="0"/>
        <w:keepLines w:val="0"/>
        <w:jc w:val="both"/>
        <w:rPr>
          <w:szCs w:val="24"/>
        </w:rPr>
      </w:pPr>
      <w:r w:rsidRPr="00A93525">
        <w:rPr>
          <w:szCs w:val="24"/>
        </w:rPr>
        <w:lastRenderedPageBreak/>
        <w:t>Thứ tự ưu tiên nhận quyền lợi bảo hiểm</w:t>
      </w:r>
    </w:p>
    <w:p w:rsidR="00CC0A36" w:rsidRPr="00A93525" w:rsidRDefault="00CC0A36" w:rsidP="00A93525">
      <w:pPr>
        <w:pStyle w:val="Heading3"/>
        <w:keepNext w:val="0"/>
        <w:keepLines w:val="0"/>
        <w:ind w:left="450" w:hanging="270"/>
        <w:jc w:val="both"/>
        <w:rPr>
          <w:sz w:val="24"/>
        </w:rPr>
      </w:pPr>
      <w:r w:rsidRPr="00A93525">
        <w:rPr>
          <w:sz w:val="24"/>
        </w:rPr>
        <w:t>Đối với Quyền lợi hưu trí và Quyền lợi Thương tật toàn bộ vĩnh viễn:</w:t>
      </w:r>
    </w:p>
    <w:p w:rsidR="00CC0A36" w:rsidRPr="00A93525" w:rsidRDefault="00CC0A36" w:rsidP="00A51DDD">
      <w:pPr>
        <w:pStyle w:val="ListParagraph"/>
        <w:numPr>
          <w:ilvl w:val="0"/>
          <w:numId w:val="43"/>
        </w:numPr>
        <w:ind w:left="540"/>
        <w:jc w:val="both"/>
        <w:rPr>
          <w:szCs w:val="24"/>
        </w:rPr>
      </w:pPr>
      <w:r w:rsidRPr="00A93525">
        <w:rPr>
          <w:szCs w:val="24"/>
        </w:rPr>
        <w:t>Người được bảo hiểm;</w:t>
      </w:r>
    </w:p>
    <w:p w:rsidR="00CC0A36" w:rsidRPr="00A93525" w:rsidRDefault="00CC0A36" w:rsidP="00A51DDD">
      <w:pPr>
        <w:pStyle w:val="ListParagraph"/>
        <w:numPr>
          <w:ilvl w:val="0"/>
          <w:numId w:val="43"/>
        </w:numPr>
        <w:ind w:left="540"/>
        <w:jc w:val="both"/>
        <w:rPr>
          <w:szCs w:val="24"/>
        </w:rPr>
      </w:pPr>
      <w:r w:rsidRPr="00A93525">
        <w:rPr>
          <w:szCs w:val="24"/>
        </w:rPr>
        <w:t>Người thụ hưởng. Nếu có hơn một Người thụ hưởng, quyền lợi bảo hiểm sẽ được chi trả cho những Người thụ hưởng theo tỷ lệ đã được chỉ định. Nếu một Người thụ hưởng không còn sống, phần quyền lợi bảo hiểm của người này sẽ được chia theo tỷ lệ đã được chỉ định cho (những) Người thụ hưởng còn lại;</w:t>
      </w:r>
    </w:p>
    <w:p w:rsidR="00CC0A36" w:rsidRPr="00A93525" w:rsidRDefault="00CC0A36" w:rsidP="00A51DDD">
      <w:pPr>
        <w:pStyle w:val="ListParagraph"/>
        <w:numPr>
          <w:ilvl w:val="0"/>
          <w:numId w:val="43"/>
        </w:numPr>
        <w:ind w:left="540"/>
        <w:jc w:val="both"/>
        <w:rPr>
          <w:szCs w:val="24"/>
        </w:rPr>
      </w:pPr>
      <w:r w:rsidRPr="00A93525">
        <w:rPr>
          <w:szCs w:val="24"/>
        </w:rPr>
        <w:t>Người thừa kế hợp pháp của Người được bảo hiểm.</w:t>
      </w:r>
    </w:p>
    <w:p w:rsidR="00A67320" w:rsidRPr="00A93525" w:rsidRDefault="00A67320" w:rsidP="00A93525">
      <w:pPr>
        <w:pStyle w:val="Heading3"/>
        <w:keepNext w:val="0"/>
        <w:keepLines w:val="0"/>
        <w:ind w:left="450" w:hanging="270"/>
        <w:jc w:val="both"/>
        <w:rPr>
          <w:sz w:val="24"/>
        </w:rPr>
      </w:pPr>
      <w:r w:rsidRPr="00A93525">
        <w:rPr>
          <w:sz w:val="24"/>
        </w:rPr>
        <w:t xml:space="preserve">Đối với Quyền lợi </w:t>
      </w:r>
      <w:r w:rsidR="00CC0A36" w:rsidRPr="00A93525">
        <w:rPr>
          <w:sz w:val="24"/>
        </w:rPr>
        <w:t xml:space="preserve">hỗ trợ chi phí hậu sự và Quyền lợi </w:t>
      </w:r>
      <w:r w:rsidR="00177687" w:rsidRPr="00A93525">
        <w:rPr>
          <w:sz w:val="24"/>
        </w:rPr>
        <w:t>tử vong</w:t>
      </w:r>
      <w:r w:rsidRPr="00A93525">
        <w:rPr>
          <w:sz w:val="24"/>
        </w:rPr>
        <w:t>:</w:t>
      </w:r>
    </w:p>
    <w:p w:rsidR="00A67320" w:rsidRPr="00A93525" w:rsidRDefault="00A67320" w:rsidP="00A51DDD">
      <w:pPr>
        <w:pStyle w:val="ListParagraph"/>
        <w:numPr>
          <w:ilvl w:val="0"/>
          <w:numId w:val="43"/>
        </w:numPr>
        <w:ind w:left="547"/>
        <w:jc w:val="both"/>
        <w:rPr>
          <w:szCs w:val="24"/>
        </w:rPr>
      </w:pPr>
      <w:r w:rsidRPr="00A93525">
        <w:rPr>
          <w:szCs w:val="24"/>
        </w:rPr>
        <w:t>Người thụ hưởng. Nếu có hơn một Người thụ hưởng, quyền lợi bảo hiểm sẽ được chi trả cho những Người thụ hưởng theo tỷ lệ đã được chỉ định. Nếu một Người thụ hưởng không còn sống, phần quyền lợi bảo hiểm của người này sẽ được chia theo tỷ lệ đã được chỉ định cho (những) Người thụ hưởng còn lại;</w:t>
      </w:r>
    </w:p>
    <w:p w:rsidR="00A67320" w:rsidRPr="00A93525" w:rsidRDefault="00A67320" w:rsidP="00A51DDD">
      <w:pPr>
        <w:pStyle w:val="ListParagraph"/>
        <w:numPr>
          <w:ilvl w:val="0"/>
          <w:numId w:val="43"/>
        </w:numPr>
        <w:ind w:left="547"/>
        <w:jc w:val="both"/>
        <w:rPr>
          <w:szCs w:val="24"/>
        </w:rPr>
      </w:pPr>
      <w:r w:rsidRPr="00A93525">
        <w:rPr>
          <w:szCs w:val="24"/>
        </w:rPr>
        <w:t>Người thừa kế hợp pháp của Người được bảo hiểm.</w:t>
      </w:r>
    </w:p>
    <w:p w:rsidR="00A67320" w:rsidRPr="00A93525" w:rsidRDefault="00A67320" w:rsidP="00A93525">
      <w:pPr>
        <w:pStyle w:val="Heading2"/>
        <w:keepNext w:val="0"/>
        <w:keepLines w:val="0"/>
        <w:jc w:val="both"/>
        <w:rPr>
          <w:szCs w:val="24"/>
        </w:rPr>
      </w:pPr>
      <w:r w:rsidRPr="00A93525">
        <w:rPr>
          <w:szCs w:val="24"/>
        </w:rPr>
        <w:t>Thời hạn nộp yêu cầu giải quyết quyền lợi bảo hiểm</w:t>
      </w:r>
    </w:p>
    <w:p w:rsidR="00B51509" w:rsidRPr="00A93525" w:rsidRDefault="00B51509" w:rsidP="00212C2C">
      <w:pPr>
        <w:snapToGrid w:val="0"/>
        <w:spacing w:after="120" w:line="240" w:lineRule="auto"/>
        <w:jc w:val="both"/>
        <w:rPr>
          <w:rFonts w:cs="Times New Roman"/>
          <w:szCs w:val="24"/>
        </w:rPr>
      </w:pPr>
      <w:r w:rsidRPr="00A93525">
        <w:rPr>
          <w:rFonts w:cs="Times New Roman"/>
          <w:szCs w:val="24"/>
        </w:rPr>
        <w:t>Bên mua bảo hiểm hoặc Người thụ hưởng có nghĩa vụ thông báo cho Công ty về sự kiện bảo hiểm trong thời gian sớm nhất kể từ khi Bên mua bảo hiểm hoặc Người thụ hưởng biết được sự kiện bảo hiểm và cung cấp các chứng từ theo quy định để giải quyết quyền lợi bảo hiểm.</w:t>
      </w:r>
    </w:p>
    <w:p w:rsidR="00B51509" w:rsidRPr="00A93525" w:rsidRDefault="00B51509" w:rsidP="00212C2C">
      <w:pPr>
        <w:snapToGrid w:val="0"/>
        <w:spacing w:after="120" w:line="240" w:lineRule="auto"/>
        <w:jc w:val="both"/>
        <w:rPr>
          <w:rFonts w:cs="Times New Roman"/>
          <w:szCs w:val="24"/>
        </w:rPr>
      </w:pPr>
      <w:r w:rsidRPr="00A93525">
        <w:rPr>
          <w:rFonts w:cs="Times New Roman"/>
          <w:szCs w:val="24"/>
        </w:rPr>
        <w:t>Thời hạn nộp đơn yêu cầu giải quyết quyền lợi bảo hiểm tới Công ty tối đa là 1 năm kể từ ngày xảy ra sự kiện bảo hiểm, thời gian 1 năm này không bao gồm thời gian trì hoãn do các sự kiện bất khả kháng</w:t>
      </w:r>
      <w:r w:rsidR="008F1A45">
        <w:rPr>
          <w:rFonts w:cs="Times New Roman"/>
          <w:szCs w:val="24"/>
        </w:rPr>
        <w:t xml:space="preserve"> và </w:t>
      </w:r>
      <w:r w:rsidR="008F1A45" w:rsidRPr="00E1109D">
        <w:rPr>
          <w:rFonts w:cs="Times New Roman"/>
          <w:szCs w:val="24"/>
        </w:rPr>
        <w:t>trở ngại do hoàn cảnh khách quan tác động như: thiên tai, địch hoạ, nhu cầu chiến đấu, phục vụ chiến đấu, xâm lược, khủng bố, cháy nổ, hành động phá hoại làm cho Bên mua bảo hiểm hoặc Người thụ hưởng không thể nộp đơn yêu cầu giải quyết quyền lợi bảo hiểm tới Công ty trong thời hạn quy định</w:t>
      </w:r>
      <w:r w:rsidRPr="00A93525">
        <w:rPr>
          <w:rFonts w:cs="Times New Roman"/>
          <w:szCs w:val="24"/>
        </w:rPr>
        <w:t>.</w:t>
      </w:r>
    </w:p>
    <w:p w:rsidR="00A67320" w:rsidRPr="00A93525" w:rsidRDefault="00A67320" w:rsidP="00A93525">
      <w:pPr>
        <w:pStyle w:val="Heading2"/>
        <w:keepNext w:val="0"/>
        <w:keepLines w:val="0"/>
        <w:jc w:val="both"/>
        <w:rPr>
          <w:szCs w:val="24"/>
        </w:rPr>
      </w:pPr>
      <w:r w:rsidRPr="00A93525">
        <w:rPr>
          <w:szCs w:val="24"/>
        </w:rPr>
        <w:t>Hồ sơ yêu cầu chi trả quyền lợi bảo hiểm</w:t>
      </w:r>
    </w:p>
    <w:p w:rsidR="00B51509" w:rsidRPr="00A93525" w:rsidRDefault="00B51509" w:rsidP="00212C2C">
      <w:pPr>
        <w:pStyle w:val="ListParagraph"/>
        <w:numPr>
          <w:ilvl w:val="0"/>
          <w:numId w:val="56"/>
        </w:numPr>
        <w:spacing w:before="240" w:after="200" w:line="276" w:lineRule="auto"/>
        <w:ind w:left="360"/>
        <w:jc w:val="both"/>
        <w:rPr>
          <w:rStyle w:val="CommentReference"/>
          <w:rFonts w:eastAsiaTheme="majorEastAsia" w:cs="Times New Roman"/>
          <w:b/>
          <w:i/>
          <w:sz w:val="24"/>
          <w:szCs w:val="24"/>
        </w:rPr>
      </w:pPr>
      <w:bookmarkStart w:id="94" w:name="_Toc447110748"/>
      <w:r w:rsidRPr="00A93525">
        <w:rPr>
          <w:rStyle w:val="CommentReference"/>
          <w:rFonts w:cs="Times New Roman"/>
          <w:i/>
          <w:sz w:val="24"/>
          <w:szCs w:val="24"/>
        </w:rPr>
        <w:t xml:space="preserve">Các tài liệu cần cung cấp trong trường hợp chi trả Quyền lợi hưu trí, </w:t>
      </w:r>
      <w:bookmarkEnd w:id="94"/>
      <w:r w:rsidRPr="00A93525">
        <w:rPr>
          <w:rStyle w:val="CommentReference"/>
          <w:rFonts w:cs="Times New Roman"/>
          <w:i/>
          <w:sz w:val="24"/>
          <w:szCs w:val="24"/>
        </w:rPr>
        <w:t>gồm:</w:t>
      </w:r>
    </w:p>
    <w:p w:rsidR="00B51509" w:rsidRPr="00A93525" w:rsidRDefault="00184778" w:rsidP="00212C2C">
      <w:pPr>
        <w:numPr>
          <w:ilvl w:val="0"/>
          <w:numId w:val="42"/>
        </w:numPr>
        <w:spacing w:before="0" w:after="0" w:line="276" w:lineRule="auto"/>
        <w:jc w:val="both"/>
        <w:rPr>
          <w:rFonts w:cs="Times New Roman"/>
          <w:szCs w:val="24"/>
          <w:lang w:val="en-AU"/>
        </w:rPr>
      </w:pPr>
      <w:r w:rsidRPr="00A93525">
        <w:rPr>
          <w:rFonts w:cs="Times New Roman"/>
          <w:szCs w:val="24"/>
          <w:lang w:val="en-AU"/>
        </w:rPr>
        <w:t>Giấy chứng nhận bảo hiểm</w:t>
      </w:r>
      <w:r w:rsidR="00531CD5" w:rsidRPr="00A93525">
        <w:rPr>
          <w:rFonts w:cs="Times New Roman"/>
          <w:szCs w:val="24"/>
          <w:lang w:val="en-AU"/>
        </w:rPr>
        <w:t xml:space="preserve">. Nếu </w:t>
      </w:r>
      <w:r w:rsidRPr="00A93525">
        <w:rPr>
          <w:rFonts w:cs="Times New Roman"/>
          <w:szCs w:val="24"/>
          <w:lang w:val="en-AU"/>
        </w:rPr>
        <w:t>Giấy chứng nhận bảo hiểm</w:t>
      </w:r>
      <w:r w:rsidR="00531CD5" w:rsidRPr="00A93525">
        <w:rPr>
          <w:rFonts w:cs="Times New Roman"/>
          <w:szCs w:val="24"/>
          <w:lang w:val="en-AU"/>
        </w:rPr>
        <w:t xml:space="preserve"> bị mất, người yêu cầu giải quyết quyền lợi bảo hiểm phải thông báo cho Công ty theo mẫu có sẵn</w:t>
      </w:r>
      <w:r w:rsidR="00B51509" w:rsidRPr="00A93525">
        <w:rPr>
          <w:rFonts w:cs="Times New Roman"/>
          <w:szCs w:val="24"/>
          <w:lang w:val="vi-VN"/>
        </w:rPr>
        <w:t>;</w:t>
      </w:r>
    </w:p>
    <w:p w:rsidR="00B51509" w:rsidRPr="00A93525" w:rsidRDefault="00B51509" w:rsidP="00212C2C">
      <w:pPr>
        <w:numPr>
          <w:ilvl w:val="0"/>
          <w:numId w:val="42"/>
        </w:numPr>
        <w:spacing w:before="0" w:after="0" w:line="276" w:lineRule="auto"/>
        <w:jc w:val="both"/>
        <w:rPr>
          <w:rFonts w:cs="Times New Roman"/>
          <w:szCs w:val="24"/>
          <w:lang w:val="en-AU"/>
        </w:rPr>
      </w:pPr>
      <w:r w:rsidRPr="00A93525">
        <w:rPr>
          <w:rFonts w:cs="Times New Roman"/>
          <w:szCs w:val="24"/>
          <w:lang w:val="vi-VN"/>
        </w:rPr>
        <w:t>Giấy yêu cầu giải quyết quyền lợi bảo hiểm theo mẫu của Công ty;</w:t>
      </w:r>
    </w:p>
    <w:p w:rsidR="00B51509" w:rsidRPr="00A93525" w:rsidRDefault="00B51509" w:rsidP="00212C2C">
      <w:pPr>
        <w:numPr>
          <w:ilvl w:val="0"/>
          <w:numId w:val="42"/>
        </w:numPr>
        <w:spacing w:before="0" w:after="0" w:line="276" w:lineRule="auto"/>
        <w:jc w:val="both"/>
        <w:rPr>
          <w:rFonts w:cs="Times New Roman"/>
          <w:szCs w:val="24"/>
          <w:lang w:val="en-AU"/>
        </w:rPr>
      </w:pPr>
      <w:r w:rsidRPr="00A93525">
        <w:rPr>
          <w:rFonts w:cs="Times New Roman"/>
          <w:szCs w:val="24"/>
          <w:lang w:val="en-AU"/>
        </w:rPr>
        <w:t>Bản sao giấy tờ tùy thân của người nhận quyền lợi bảo hiểm (CMND/ hoặc hộ chiếu/ thẻ căn cước/ giấy phép lái xe…)</w:t>
      </w:r>
    </w:p>
    <w:p w:rsidR="00CC0A36" w:rsidRPr="00A93525" w:rsidRDefault="00CC0A36" w:rsidP="00212C2C">
      <w:pPr>
        <w:pStyle w:val="ListParagraph"/>
        <w:numPr>
          <w:ilvl w:val="0"/>
          <w:numId w:val="56"/>
        </w:numPr>
        <w:spacing w:before="240" w:after="200" w:line="276" w:lineRule="auto"/>
        <w:jc w:val="both"/>
        <w:rPr>
          <w:rStyle w:val="CommentReference"/>
          <w:rFonts w:cs="Times New Roman"/>
          <w:i/>
          <w:sz w:val="24"/>
          <w:szCs w:val="24"/>
        </w:rPr>
      </w:pPr>
      <w:bookmarkStart w:id="95" w:name="_Ref493750626"/>
      <w:r w:rsidRPr="00A93525">
        <w:rPr>
          <w:rStyle w:val="CommentReference"/>
          <w:rFonts w:cs="Times New Roman"/>
          <w:i/>
          <w:sz w:val="24"/>
          <w:szCs w:val="24"/>
        </w:rPr>
        <w:t>Các tài liệu cần cung cấp trong trường hợp giải quyết Quyền lợi hỗ trợ chi phí hậu sự và Quyền lợi tử vong, gồm:</w:t>
      </w:r>
    </w:p>
    <w:bookmarkEnd w:id="95"/>
    <w:p w:rsidR="00531CD5" w:rsidRPr="00A93525" w:rsidRDefault="00184778" w:rsidP="00212C2C">
      <w:pPr>
        <w:numPr>
          <w:ilvl w:val="0"/>
          <w:numId w:val="42"/>
        </w:numPr>
        <w:spacing w:before="0" w:after="0" w:line="276" w:lineRule="auto"/>
        <w:jc w:val="both"/>
        <w:rPr>
          <w:rFonts w:cs="Times New Roman"/>
          <w:szCs w:val="24"/>
          <w:lang w:val="en-AU"/>
        </w:rPr>
      </w:pPr>
      <w:r w:rsidRPr="00A93525">
        <w:rPr>
          <w:rFonts w:cs="Times New Roman"/>
          <w:szCs w:val="24"/>
          <w:lang w:val="en-AU"/>
        </w:rPr>
        <w:t>Giấy chứng nhận bảo hiểm</w:t>
      </w:r>
      <w:r w:rsidR="00531CD5" w:rsidRPr="00A93525">
        <w:rPr>
          <w:rFonts w:cs="Times New Roman"/>
          <w:szCs w:val="24"/>
          <w:lang w:val="en-AU"/>
        </w:rPr>
        <w:t xml:space="preserve">. Nếu </w:t>
      </w:r>
      <w:r w:rsidRPr="00A93525">
        <w:rPr>
          <w:rFonts w:cs="Times New Roman"/>
          <w:szCs w:val="24"/>
          <w:lang w:val="en-AU"/>
        </w:rPr>
        <w:t>Giấy chứng nhận bảo hiểm</w:t>
      </w:r>
      <w:r w:rsidR="00531CD5" w:rsidRPr="00A93525">
        <w:rPr>
          <w:rFonts w:cs="Times New Roman"/>
          <w:szCs w:val="24"/>
          <w:lang w:val="en-AU"/>
        </w:rPr>
        <w:t xml:space="preserve"> bị mất, người yêu cầu giải quyết quyền lợi bảo hiểm phải thông báo cho Công ty theo mẫu có sẵn</w:t>
      </w:r>
      <w:r w:rsidR="00531CD5" w:rsidRPr="00A93525">
        <w:rPr>
          <w:rFonts w:cs="Times New Roman"/>
          <w:szCs w:val="24"/>
          <w:lang w:val="vi-VN"/>
        </w:rPr>
        <w:t>;</w:t>
      </w:r>
    </w:p>
    <w:p w:rsidR="00531CD5" w:rsidRPr="00A93525" w:rsidRDefault="00531CD5" w:rsidP="00212C2C">
      <w:pPr>
        <w:numPr>
          <w:ilvl w:val="0"/>
          <w:numId w:val="41"/>
        </w:numPr>
        <w:spacing w:before="0" w:after="0" w:line="276" w:lineRule="auto"/>
        <w:jc w:val="both"/>
        <w:rPr>
          <w:rFonts w:cs="Times New Roman"/>
          <w:szCs w:val="24"/>
          <w:lang w:val="en-AU"/>
        </w:rPr>
      </w:pPr>
      <w:r w:rsidRPr="00A93525">
        <w:rPr>
          <w:rFonts w:cs="Times New Roman"/>
          <w:szCs w:val="24"/>
          <w:lang w:val="en-AU"/>
        </w:rPr>
        <w:t>Giấy yêu cầu giải quyết quyền lợi bảo hiểm theo mẫu của Công ty;</w:t>
      </w:r>
    </w:p>
    <w:p w:rsidR="00531CD5" w:rsidRPr="00A93525" w:rsidRDefault="00531CD5" w:rsidP="00212C2C">
      <w:pPr>
        <w:numPr>
          <w:ilvl w:val="0"/>
          <w:numId w:val="41"/>
        </w:numPr>
        <w:spacing w:before="0" w:after="0" w:line="276" w:lineRule="auto"/>
        <w:jc w:val="both"/>
        <w:rPr>
          <w:rFonts w:cs="Times New Roman"/>
          <w:szCs w:val="24"/>
          <w:lang w:val="en-AU"/>
        </w:rPr>
      </w:pPr>
      <w:r w:rsidRPr="00A93525">
        <w:rPr>
          <w:rFonts w:cs="Times New Roman"/>
          <w:szCs w:val="24"/>
          <w:lang w:val="en-AU"/>
        </w:rPr>
        <w:lastRenderedPageBreak/>
        <w:t>Bằng chứng về sự kiện tử vong (Trích lục chứng tử và/ hoặc biên bản tai nạn, biên bản giải phẫu pháp y (nếu có</w:t>
      </w:r>
      <w:r w:rsidR="00545836" w:rsidRPr="00A93525">
        <w:rPr>
          <w:rFonts w:cs="Times New Roman"/>
          <w:szCs w:val="24"/>
          <w:lang w:val="en-AU"/>
        </w:rPr>
        <w:t>,</w:t>
      </w:r>
      <w:r w:rsidRPr="00A93525">
        <w:rPr>
          <w:rFonts w:cs="Times New Roman"/>
          <w:szCs w:val="24"/>
          <w:lang w:val="en-AU"/>
        </w:rPr>
        <w:t xml:space="preserve"> trong trường hợp tử vong do tai nạn)</w:t>
      </w:r>
      <w:r w:rsidR="003F2682" w:rsidRPr="00A93525">
        <w:rPr>
          <w:rFonts w:cs="Times New Roman"/>
          <w:szCs w:val="24"/>
          <w:lang w:val="en-AU"/>
        </w:rPr>
        <w:t>, hoặc Hồ sơ y tế liên quan (Giấy ra viện, Bản sao hoặc hồ sơ tóm tắt bệnh án)</w:t>
      </w:r>
      <w:r w:rsidR="00900128" w:rsidRPr="00A93525">
        <w:rPr>
          <w:rFonts w:cs="Times New Roman"/>
          <w:szCs w:val="24"/>
          <w:lang w:val="en-AU"/>
        </w:rPr>
        <w:t>;</w:t>
      </w:r>
    </w:p>
    <w:p w:rsidR="00531CD5" w:rsidRPr="00A93525" w:rsidRDefault="00531CD5" w:rsidP="00212C2C">
      <w:pPr>
        <w:numPr>
          <w:ilvl w:val="0"/>
          <w:numId w:val="41"/>
        </w:numPr>
        <w:spacing w:before="0" w:after="0" w:line="276" w:lineRule="auto"/>
        <w:jc w:val="both"/>
        <w:rPr>
          <w:rFonts w:cs="Times New Roman"/>
          <w:szCs w:val="24"/>
          <w:lang w:val="en-AU"/>
        </w:rPr>
      </w:pPr>
      <w:r w:rsidRPr="00A93525">
        <w:rPr>
          <w:rFonts w:cs="Times New Roman"/>
          <w:szCs w:val="24"/>
          <w:lang w:val="en-AU"/>
        </w:rPr>
        <w:t>Bản sao giấy tờ tùy thân của người nhận quyền lợi bảo hiểm (CMND/ hoặc hộ chiếu/ thẻ căn cước/ giấy phép lái xe…);</w:t>
      </w:r>
    </w:p>
    <w:p w:rsidR="00531CD5" w:rsidRPr="00A93525" w:rsidRDefault="00531CD5" w:rsidP="00212C2C">
      <w:pPr>
        <w:numPr>
          <w:ilvl w:val="0"/>
          <w:numId w:val="41"/>
        </w:numPr>
        <w:spacing w:before="0" w:after="0" w:line="276" w:lineRule="auto"/>
        <w:jc w:val="both"/>
        <w:rPr>
          <w:rFonts w:cs="Times New Roman"/>
          <w:szCs w:val="24"/>
          <w:lang w:val="en-AU"/>
        </w:rPr>
      </w:pPr>
      <w:r w:rsidRPr="00A93525">
        <w:rPr>
          <w:rFonts w:cs="Times New Roman"/>
          <w:szCs w:val="24"/>
          <w:lang w:val="en-AU"/>
        </w:rPr>
        <w:t>Tài liệu chứng minh quyền được nhận quyền lợi bảo hiểm (nếu có) như giấy tờ chứng minh mối quan hệ với Người được bảo hiểm, văn bản thỏa thuận phân chia tài sản thừa kế…</w:t>
      </w:r>
    </w:p>
    <w:p w:rsidR="00531CD5" w:rsidRPr="00A93525" w:rsidRDefault="00531CD5" w:rsidP="00212C2C">
      <w:pPr>
        <w:pStyle w:val="ListParagraph"/>
        <w:numPr>
          <w:ilvl w:val="0"/>
          <w:numId w:val="56"/>
        </w:numPr>
        <w:spacing w:before="240" w:after="200" w:line="276" w:lineRule="auto"/>
        <w:jc w:val="both"/>
        <w:rPr>
          <w:rStyle w:val="CommentReference"/>
          <w:rFonts w:cs="Times New Roman"/>
          <w:i/>
          <w:sz w:val="24"/>
          <w:szCs w:val="24"/>
        </w:rPr>
      </w:pPr>
      <w:r w:rsidRPr="00A93525">
        <w:rPr>
          <w:rStyle w:val="CommentReference"/>
          <w:rFonts w:cs="Times New Roman"/>
          <w:i/>
          <w:sz w:val="24"/>
          <w:szCs w:val="24"/>
        </w:rPr>
        <w:t>Các tài liệu cần cung cấp trong trường hợp giải quyết Quyền lợi Thương tật toàn bộ vĩnh viễn, gồm:</w:t>
      </w:r>
    </w:p>
    <w:p w:rsidR="00531CD5" w:rsidRPr="00A93525" w:rsidRDefault="00184778" w:rsidP="00212C2C">
      <w:pPr>
        <w:numPr>
          <w:ilvl w:val="0"/>
          <w:numId w:val="60"/>
        </w:numPr>
        <w:spacing w:before="0" w:after="0" w:line="276" w:lineRule="auto"/>
        <w:jc w:val="both"/>
        <w:rPr>
          <w:rFonts w:cs="Times New Roman"/>
          <w:szCs w:val="24"/>
          <w:lang w:val="en-AU"/>
        </w:rPr>
      </w:pPr>
      <w:r w:rsidRPr="00A93525">
        <w:rPr>
          <w:rFonts w:cs="Times New Roman"/>
          <w:szCs w:val="24"/>
          <w:lang w:val="en-AU"/>
        </w:rPr>
        <w:t>Giấy chứng nhận bảo hiểm</w:t>
      </w:r>
      <w:r w:rsidR="00531CD5" w:rsidRPr="00A93525">
        <w:rPr>
          <w:rFonts w:cs="Times New Roman"/>
          <w:szCs w:val="24"/>
          <w:lang w:val="en-AU"/>
        </w:rPr>
        <w:t xml:space="preserve">. Nếu </w:t>
      </w:r>
      <w:r w:rsidRPr="00A93525">
        <w:rPr>
          <w:rFonts w:cs="Times New Roman"/>
          <w:szCs w:val="24"/>
          <w:lang w:val="en-AU"/>
        </w:rPr>
        <w:t>Giấy chứng nhận bảo hiểm</w:t>
      </w:r>
      <w:r w:rsidR="00531CD5" w:rsidRPr="00A93525">
        <w:rPr>
          <w:rFonts w:cs="Times New Roman"/>
          <w:szCs w:val="24"/>
          <w:lang w:val="en-AU"/>
        </w:rPr>
        <w:t xml:space="preserve"> bị mất, người yêu cầu giải quyết quyền lợi bảo hiểm phải thông báo cho Công ty theo mẫu có sẵn</w:t>
      </w:r>
      <w:r w:rsidR="00531CD5" w:rsidRPr="00A93525">
        <w:rPr>
          <w:rFonts w:cs="Times New Roman"/>
          <w:szCs w:val="24"/>
          <w:lang w:val="vi-VN"/>
        </w:rPr>
        <w:t>;</w:t>
      </w:r>
    </w:p>
    <w:p w:rsidR="00531CD5" w:rsidRPr="00A93525" w:rsidRDefault="00531CD5" w:rsidP="00212C2C">
      <w:pPr>
        <w:numPr>
          <w:ilvl w:val="0"/>
          <w:numId w:val="60"/>
        </w:numPr>
        <w:spacing w:before="0" w:after="0" w:line="276" w:lineRule="auto"/>
        <w:jc w:val="both"/>
        <w:rPr>
          <w:rFonts w:cs="Times New Roman"/>
          <w:szCs w:val="24"/>
          <w:lang w:val="en-AU"/>
        </w:rPr>
      </w:pPr>
      <w:r w:rsidRPr="00A93525">
        <w:rPr>
          <w:rFonts w:cs="Times New Roman"/>
          <w:szCs w:val="24"/>
          <w:lang w:val="en-AU"/>
        </w:rPr>
        <w:t>Giấy yêu cầu giải quyết quyền lợi bảo hiểm theo mẫu của Công ty;</w:t>
      </w:r>
    </w:p>
    <w:p w:rsidR="00531CD5" w:rsidRPr="00A93525" w:rsidRDefault="00531CD5" w:rsidP="00212C2C">
      <w:pPr>
        <w:numPr>
          <w:ilvl w:val="0"/>
          <w:numId w:val="60"/>
        </w:numPr>
        <w:spacing w:before="0" w:after="0" w:line="276" w:lineRule="auto"/>
        <w:jc w:val="both"/>
        <w:rPr>
          <w:rFonts w:cs="Times New Roman"/>
          <w:szCs w:val="24"/>
          <w:lang w:val="en-AU"/>
        </w:rPr>
      </w:pPr>
      <w:r w:rsidRPr="00A93525">
        <w:rPr>
          <w:rFonts w:cs="Times New Roman"/>
          <w:szCs w:val="24"/>
          <w:lang w:val="en-AU"/>
        </w:rPr>
        <w:t>Bằng chứng về Thương tật toàn bộ vĩnh viễn (Kết quả giám định tình trạng thương tật do Hội đồng giám định Y khoa cấp tỉnh, thành phố cấp, và/hoặc biên bản tai nạn (nếu có</w:t>
      </w:r>
      <w:r w:rsidR="00545836" w:rsidRPr="00A93525">
        <w:rPr>
          <w:rFonts w:cs="Times New Roman"/>
          <w:szCs w:val="24"/>
          <w:lang w:val="en-AU"/>
        </w:rPr>
        <w:t>,</w:t>
      </w:r>
      <w:r w:rsidRPr="00A93525">
        <w:rPr>
          <w:rFonts w:cs="Times New Roman"/>
          <w:szCs w:val="24"/>
          <w:lang w:val="en-AU"/>
        </w:rPr>
        <w:t xml:space="preserve"> trong trường hợp thương tật do tai nạn)), hoặc </w:t>
      </w:r>
      <w:r w:rsidR="003F2682" w:rsidRPr="00A93525">
        <w:rPr>
          <w:rFonts w:cs="Times New Roman"/>
          <w:szCs w:val="24"/>
          <w:lang w:val="en-AU"/>
        </w:rPr>
        <w:t>Hồ sơ y tế liên quan (Giấy ra viện, Bản sao hoặc hồ sơ tóm tắt bệnh án)</w:t>
      </w:r>
      <w:r w:rsidRPr="00A93525">
        <w:rPr>
          <w:rFonts w:cs="Times New Roman"/>
          <w:szCs w:val="24"/>
          <w:lang w:val="en-AU"/>
        </w:rPr>
        <w:t xml:space="preserve">; </w:t>
      </w:r>
    </w:p>
    <w:p w:rsidR="00531CD5" w:rsidRPr="00A93525" w:rsidRDefault="00531CD5" w:rsidP="00212C2C">
      <w:pPr>
        <w:numPr>
          <w:ilvl w:val="0"/>
          <w:numId w:val="60"/>
        </w:numPr>
        <w:spacing w:before="0" w:after="0" w:line="276" w:lineRule="auto"/>
        <w:jc w:val="both"/>
        <w:rPr>
          <w:rFonts w:cs="Times New Roman"/>
          <w:szCs w:val="24"/>
          <w:lang w:val="en-AU"/>
        </w:rPr>
      </w:pPr>
      <w:r w:rsidRPr="00A93525">
        <w:rPr>
          <w:rFonts w:cs="Times New Roman"/>
          <w:szCs w:val="24"/>
          <w:lang w:val="en-AU"/>
        </w:rPr>
        <w:t>Bản công chứng, chứng thực hợp pháp hóa lãnh sự các giấy tờ, bằng chứng (bằng tiếng Anh hoặc tiếng Việt) cho trường hợp khám và điều trị ở nước ngoài;</w:t>
      </w:r>
    </w:p>
    <w:p w:rsidR="00531CD5" w:rsidRPr="00A93525" w:rsidRDefault="00531CD5" w:rsidP="00212C2C">
      <w:pPr>
        <w:numPr>
          <w:ilvl w:val="0"/>
          <w:numId w:val="60"/>
        </w:numPr>
        <w:spacing w:before="0" w:after="0" w:line="276" w:lineRule="auto"/>
        <w:jc w:val="both"/>
        <w:rPr>
          <w:rFonts w:cs="Times New Roman"/>
          <w:szCs w:val="24"/>
          <w:lang w:val="en-AU"/>
        </w:rPr>
      </w:pPr>
      <w:r w:rsidRPr="00A93525">
        <w:rPr>
          <w:rFonts w:cs="Times New Roman"/>
          <w:szCs w:val="24"/>
          <w:lang w:val="en-AU"/>
        </w:rPr>
        <w:t>Bản sao giấy tờ tùy thân của người nhận quyền lợi bảo hiểm (CMND/ hoặc hộ chiếu/ thẻ căn cước/ giấy phép lái xe…)</w:t>
      </w:r>
    </w:p>
    <w:p w:rsidR="00A67320" w:rsidRPr="00A93525" w:rsidRDefault="00A67320" w:rsidP="00A93525">
      <w:pPr>
        <w:pStyle w:val="Heading2"/>
        <w:keepNext w:val="0"/>
        <w:keepLines w:val="0"/>
        <w:jc w:val="both"/>
        <w:rPr>
          <w:szCs w:val="24"/>
        </w:rPr>
      </w:pPr>
      <w:r w:rsidRPr="00A93525">
        <w:rPr>
          <w:szCs w:val="24"/>
        </w:rPr>
        <w:t>Nghĩa vụ chứng minh</w:t>
      </w:r>
    </w:p>
    <w:p w:rsidR="00A67320" w:rsidRPr="00A93525" w:rsidRDefault="00A67320" w:rsidP="00212C2C">
      <w:pPr>
        <w:jc w:val="both"/>
        <w:rPr>
          <w:szCs w:val="24"/>
        </w:rPr>
      </w:pPr>
      <w:r w:rsidRPr="00A93525">
        <w:rPr>
          <w:szCs w:val="24"/>
        </w:rPr>
        <w:t>Sau khi nhận được đầy đủ hồ sơ yêu cầu chi trả quyền lợi bảo hiểm, nếu Công ty từ chối chi trả quyền lợi bảo hiểm</w:t>
      </w:r>
      <w:r w:rsidR="00DA037E" w:rsidRPr="00A93525">
        <w:rPr>
          <w:szCs w:val="24"/>
        </w:rPr>
        <w:t>,</w:t>
      </w:r>
      <w:r w:rsidRPr="00A93525">
        <w:rPr>
          <w:szCs w:val="24"/>
        </w:rPr>
        <w:t xml:space="preserve"> Công ty phải nêu rõ lý do từ chối bằng văn bản cho người yêu cầu giải quyết quyền lợi bảo hiểm.</w:t>
      </w:r>
    </w:p>
    <w:p w:rsidR="00A67320" w:rsidRPr="00A93525" w:rsidRDefault="00A67320" w:rsidP="00A93525">
      <w:pPr>
        <w:pStyle w:val="Heading2"/>
        <w:keepNext w:val="0"/>
        <w:keepLines w:val="0"/>
        <w:jc w:val="both"/>
        <w:rPr>
          <w:szCs w:val="24"/>
        </w:rPr>
      </w:pPr>
      <w:bookmarkStart w:id="96" w:name="_Ref493596370"/>
      <w:r w:rsidRPr="00A93525">
        <w:rPr>
          <w:szCs w:val="24"/>
        </w:rPr>
        <w:t>Thời gian giải quyết quyền lợi bảo hiểm</w:t>
      </w:r>
      <w:bookmarkEnd w:id="96"/>
    </w:p>
    <w:p w:rsidR="00531CD5" w:rsidRPr="00A93525" w:rsidRDefault="00531CD5" w:rsidP="00212C2C">
      <w:pPr>
        <w:jc w:val="both"/>
        <w:rPr>
          <w:rFonts w:cs="Times New Roman"/>
          <w:szCs w:val="24"/>
          <w:lang w:val="en-AU"/>
        </w:rPr>
      </w:pPr>
      <w:r w:rsidRPr="00A93525">
        <w:rPr>
          <w:rFonts w:cs="Times New Roman"/>
          <w:szCs w:val="24"/>
          <w:lang w:val="en-AU"/>
        </w:rPr>
        <w:t xml:space="preserve">Công ty sẽ chi trả quyền lợi bảo hiểm </w:t>
      </w:r>
      <w:r w:rsidRPr="00A93525">
        <w:rPr>
          <w:rFonts w:cs="Times New Roman"/>
          <w:szCs w:val="24"/>
          <w:lang w:val="vi-VN"/>
        </w:rPr>
        <w:t xml:space="preserve">trong vòng </w:t>
      </w:r>
      <w:r w:rsidRPr="00A93525">
        <w:rPr>
          <w:rFonts w:cs="Times New Roman"/>
          <w:szCs w:val="24"/>
        </w:rPr>
        <w:t xml:space="preserve">5 ngày làm việc đối với Quyền lợi </w:t>
      </w:r>
      <w:r w:rsidR="003621ED" w:rsidRPr="00A93525">
        <w:rPr>
          <w:rFonts w:cs="Times New Roman"/>
          <w:szCs w:val="24"/>
        </w:rPr>
        <w:t>hưu trí</w:t>
      </w:r>
      <w:r w:rsidRPr="00A93525">
        <w:rPr>
          <w:rFonts w:cs="Times New Roman"/>
          <w:szCs w:val="24"/>
        </w:rPr>
        <w:t xml:space="preserve"> và </w:t>
      </w:r>
      <w:r w:rsidRPr="00A93525">
        <w:rPr>
          <w:rFonts w:cs="Times New Roman"/>
          <w:szCs w:val="24"/>
          <w:lang w:val="en-AU"/>
        </w:rPr>
        <w:t>tối đa không quá 30 ngày đối với các quyền lợi khác kể từ ngày Công ty nhận được đầy đủ hồ sơ hợp lệ.</w:t>
      </w:r>
    </w:p>
    <w:p w:rsidR="00531CD5" w:rsidRPr="00A93525" w:rsidRDefault="00531CD5" w:rsidP="00212C2C">
      <w:pPr>
        <w:jc w:val="both"/>
        <w:rPr>
          <w:rFonts w:cs="Times New Roman"/>
          <w:szCs w:val="24"/>
          <w:lang w:val="en-AU"/>
        </w:rPr>
      </w:pPr>
      <w:r w:rsidRPr="00A93525">
        <w:rPr>
          <w:rFonts w:cs="Times New Roman"/>
          <w:szCs w:val="24"/>
          <w:lang w:val="en-AU"/>
        </w:rPr>
        <w:t xml:space="preserve">Nếu việc trì hoãn chi trả là do lỗi Công ty thì Công ty sẽ trả thêm tiền lãi của số tiền này. Mức lãi suất áp dụng cho khoản chi trả chậm này bằng </w:t>
      </w:r>
      <w:r w:rsidR="00FE1D95" w:rsidRPr="00A93525">
        <w:rPr>
          <w:szCs w:val="24"/>
          <w:lang w:val="en-AU"/>
        </w:rPr>
        <w:t>với lãi suất đối với phần tạm ứng từ Giá trị hoàn lại do Công ty công bố tại từng thời điểm trên website của Công ty.</w:t>
      </w:r>
      <w:r w:rsidRPr="00A93525">
        <w:rPr>
          <w:rFonts w:cs="Times New Roman"/>
          <w:szCs w:val="24"/>
          <w:lang w:val="en-AU"/>
        </w:rPr>
        <w:t xml:space="preserve"> </w:t>
      </w:r>
    </w:p>
    <w:p w:rsidR="000206DE" w:rsidRPr="00A93525" w:rsidRDefault="00907D3C" w:rsidP="00A93525">
      <w:pPr>
        <w:pStyle w:val="Heading1"/>
        <w:keepNext w:val="0"/>
        <w:keepLines w:val="0"/>
        <w:jc w:val="both"/>
        <w:rPr>
          <w:szCs w:val="24"/>
        </w:rPr>
      </w:pPr>
      <w:bookmarkStart w:id="97" w:name="_Toc496706471"/>
      <w:bookmarkStart w:id="98" w:name="_Toc498701188"/>
      <w:bookmarkStart w:id="99" w:name="_Toc496717755"/>
      <w:r w:rsidRPr="00A93525">
        <w:rPr>
          <w:caps w:val="0"/>
          <w:szCs w:val="24"/>
        </w:rPr>
        <w:t xml:space="preserve">LUẬT ÁP DỤNG VÀ </w:t>
      </w:r>
      <w:r w:rsidR="00755ABA" w:rsidRPr="00A93525">
        <w:rPr>
          <w:caps w:val="0"/>
          <w:szCs w:val="24"/>
        </w:rPr>
        <w:t>GIẢI QUYẾT TRANH CHẤP</w:t>
      </w:r>
      <w:bookmarkEnd w:id="97"/>
      <w:bookmarkEnd w:id="98"/>
      <w:r w:rsidR="00755ABA" w:rsidRPr="00A93525">
        <w:rPr>
          <w:caps w:val="0"/>
          <w:szCs w:val="24"/>
        </w:rPr>
        <w:t xml:space="preserve"> </w:t>
      </w:r>
      <w:bookmarkEnd w:id="99"/>
    </w:p>
    <w:p w:rsidR="00907D3C" w:rsidRPr="00A93525" w:rsidRDefault="00907D3C" w:rsidP="00212C2C">
      <w:pPr>
        <w:jc w:val="both"/>
        <w:rPr>
          <w:szCs w:val="24"/>
        </w:rPr>
      </w:pPr>
      <w:r w:rsidRPr="00A93525">
        <w:rPr>
          <w:szCs w:val="24"/>
        </w:rPr>
        <w:t xml:space="preserve">Hợp đồng bảo hiểm hưu trí này được hướng dẫn và điều chỉnh bởi pháp luật của Việt Nam. </w:t>
      </w:r>
    </w:p>
    <w:p w:rsidR="00907D3C" w:rsidRPr="00A93525" w:rsidRDefault="00907D3C" w:rsidP="000F3CD3">
      <w:pPr>
        <w:widowControl w:val="0"/>
        <w:jc w:val="both"/>
        <w:rPr>
          <w:szCs w:val="24"/>
        </w:rPr>
      </w:pPr>
      <w:r w:rsidRPr="00A93525">
        <w:rPr>
          <w:szCs w:val="24"/>
        </w:rPr>
        <w:t xml:space="preserve">Mọi tranh chấp phát sinh từ Hợp đồng bảo hiểm hưu trí này sẽ được giải quyết thông qua thương </w:t>
      </w:r>
      <w:r w:rsidRPr="00A93525">
        <w:rPr>
          <w:szCs w:val="24"/>
        </w:rPr>
        <w:lastRenderedPageBreak/>
        <w:t>lượng giữa các bên. Trong trường hợp Bên mua bảo hiểm và Công ty không thể tự giải quyết được tranh chấp, mỗi bên có quyền đưa tranh chấp ra tòa án có thẩm quyền tại nơi bị đơn cư trú hoặc có trụ sở chính giải quyết.</w:t>
      </w:r>
    </w:p>
    <w:p w:rsidR="00994405" w:rsidRPr="00A93525" w:rsidRDefault="00907D3C" w:rsidP="00AF1077">
      <w:pPr>
        <w:widowControl w:val="0"/>
        <w:jc w:val="both"/>
        <w:rPr>
          <w:color w:val="000000"/>
          <w:szCs w:val="24"/>
          <w:lang w:val="en-AU"/>
        </w:rPr>
      </w:pPr>
      <w:r w:rsidRPr="00A93525">
        <w:rPr>
          <w:szCs w:val="24"/>
        </w:rPr>
        <w:t>Thời hiệu khởi kiện là 3 năm kể từ thời điểm phát sinh tranh chấp.</w:t>
      </w:r>
    </w:p>
    <w:sectPr w:rsidR="00994405" w:rsidRPr="00A93525" w:rsidSect="004A1B81">
      <w:pgSz w:w="12240" w:h="15840" w:code="1"/>
      <w:pgMar w:top="1440" w:right="1440" w:bottom="1440" w:left="1440" w:header="576"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BBC" w:rsidRDefault="004F2BBC" w:rsidP="00410388">
      <w:pPr>
        <w:spacing w:after="0" w:line="240" w:lineRule="auto"/>
      </w:pPr>
      <w:r>
        <w:separator/>
      </w:r>
    </w:p>
  </w:endnote>
  <w:endnote w:type="continuationSeparator" w:id="1">
    <w:p w:rsidR="004F2BBC" w:rsidRDefault="004F2BBC" w:rsidP="00410388">
      <w:pPr>
        <w:spacing w:after="0" w:line="240" w:lineRule="auto"/>
      </w:pPr>
      <w:r>
        <w:continuationSeparator/>
      </w:r>
    </w:p>
  </w:endnote>
  <w:endnote w:type="continuationNotice" w:id="2">
    <w:p w:rsidR="004F2BBC" w:rsidRDefault="004F2BBC">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ovanniEFBook">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ED" w:rsidRDefault="006460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1126972316"/>
      <w:docPartObj>
        <w:docPartGallery w:val="Page Numbers (Bottom of Page)"/>
        <w:docPartUnique/>
      </w:docPartObj>
    </w:sdtPr>
    <w:sdtEndPr>
      <w:rPr>
        <w:noProof/>
      </w:rPr>
    </w:sdtEndPr>
    <w:sdtContent>
      <w:p w:rsidR="001E16BE" w:rsidRPr="004E51BD" w:rsidRDefault="00E305F7">
        <w:pPr>
          <w:pStyle w:val="Footer"/>
          <w:jc w:val="right"/>
          <w:rPr>
            <w:szCs w:val="24"/>
          </w:rPr>
        </w:pPr>
        <w:r w:rsidRPr="004E51BD">
          <w:rPr>
            <w:szCs w:val="24"/>
          </w:rPr>
          <w:fldChar w:fldCharType="begin"/>
        </w:r>
        <w:r w:rsidR="001E16BE" w:rsidRPr="0092166C">
          <w:rPr>
            <w:szCs w:val="24"/>
          </w:rPr>
          <w:instrText xml:space="preserve"> PAGE   \* MERGEFORMAT </w:instrText>
        </w:r>
        <w:r w:rsidRPr="004E51BD">
          <w:rPr>
            <w:szCs w:val="24"/>
          </w:rPr>
          <w:fldChar w:fldCharType="separate"/>
        </w:r>
        <w:r w:rsidR="006460ED">
          <w:rPr>
            <w:noProof/>
            <w:szCs w:val="24"/>
          </w:rPr>
          <w:t>17</w:t>
        </w:r>
        <w:r w:rsidRPr="004E51BD">
          <w:rPr>
            <w:noProof/>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ED" w:rsidRDefault="006460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BBC" w:rsidRDefault="004F2BBC" w:rsidP="00410388">
      <w:pPr>
        <w:spacing w:after="0" w:line="240" w:lineRule="auto"/>
      </w:pPr>
      <w:r>
        <w:separator/>
      </w:r>
    </w:p>
  </w:footnote>
  <w:footnote w:type="continuationSeparator" w:id="1">
    <w:p w:rsidR="004F2BBC" w:rsidRDefault="004F2BBC" w:rsidP="00410388">
      <w:pPr>
        <w:spacing w:after="0" w:line="240" w:lineRule="auto"/>
      </w:pPr>
      <w:r>
        <w:continuationSeparator/>
      </w:r>
    </w:p>
  </w:footnote>
  <w:footnote w:type="continuationNotice" w:id="2">
    <w:p w:rsidR="004F2BBC" w:rsidRDefault="004F2BBC">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0ED" w:rsidRDefault="006460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BE" w:rsidRDefault="001E16BE" w:rsidP="00F24DCF">
    <w:pPr>
      <w:pStyle w:val="Header"/>
      <w:spacing w:after="24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BE" w:rsidRPr="006460ED" w:rsidRDefault="001E16BE" w:rsidP="006460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D67"/>
    <w:multiLevelType w:val="hybridMultilevel"/>
    <w:tmpl w:val="8F18F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B12368"/>
    <w:multiLevelType w:val="multilevel"/>
    <w:tmpl w:val="CBF8A0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24F46B2"/>
    <w:multiLevelType w:val="hybridMultilevel"/>
    <w:tmpl w:val="CECE34B6"/>
    <w:lvl w:ilvl="0" w:tplc="707237F4">
      <w:numFmt w:val="bullet"/>
      <w:lvlText w:val="-"/>
      <w:lvlJc w:val="left"/>
      <w:pPr>
        <w:ind w:left="720" w:hanging="360"/>
      </w:pPr>
      <w:rPr>
        <w:rFonts w:ascii="GiovanniEFBook" w:eastAsiaTheme="minorHAnsi" w:hAnsi="GiovanniEF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732AAD"/>
    <w:multiLevelType w:val="hybridMultilevel"/>
    <w:tmpl w:val="B6C892F0"/>
    <w:lvl w:ilvl="0" w:tplc="E690DCD2">
      <w:start w:val="1"/>
      <w:numFmt w:val="lowerLetter"/>
      <w:lvlText w:val="%1)"/>
      <w:lvlJc w:val="left"/>
      <w:pPr>
        <w:ind w:left="928"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A322CB"/>
    <w:multiLevelType w:val="hybridMultilevel"/>
    <w:tmpl w:val="F7C28F3E"/>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882B75"/>
    <w:multiLevelType w:val="hybridMultilevel"/>
    <w:tmpl w:val="CCD80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80031"/>
    <w:multiLevelType w:val="hybridMultilevel"/>
    <w:tmpl w:val="8D5EB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2C27D7"/>
    <w:multiLevelType w:val="hybridMultilevel"/>
    <w:tmpl w:val="19F4FAB2"/>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9166C2"/>
    <w:multiLevelType w:val="hybridMultilevel"/>
    <w:tmpl w:val="C76AB4C8"/>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C3EE5"/>
    <w:multiLevelType w:val="hybridMultilevel"/>
    <w:tmpl w:val="3A64738A"/>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04291"/>
    <w:multiLevelType w:val="hybridMultilevel"/>
    <w:tmpl w:val="EB3CE778"/>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13652"/>
    <w:multiLevelType w:val="hybridMultilevel"/>
    <w:tmpl w:val="44DAE71A"/>
    <w:lvl w:ilvl="0" w:tplc="BAEEC3D2">
      <w:numFmt w:val="bullet"/>
      <w:lvlText w:val="-"/>
      <w:lvlJc w:val="left"/>
      <w:pPr>
        <w:ind w:left="360" w:hanging="360"/>
      </w:pPr>
      <w:rPr>
        <w:rFonts w:ascii="Times New Roman" w:eastAsia="Calibri"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2B3749"/>
    <w:multiLevelType w:val="hybridMultilevel"/>
    <w:tmpl w:val="C4EE4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623AB"/>
    <w:multiLevelType w:val="hybridMultilevel"/>
    <w:tmpl w:val="4636FB9A"/>
    <w:lvl w:ilvl="0" w:tplc="04090001">
      <w:start w:val="1"/>
      <w:numFmt w:val="bullet"/>
      <w:lvlText w:val=""/>
      <w:lvlJc w:val="left"/>
      <w:pPr>
        <w:ind w:left="720" w:hanging="360"/>
      </w:pPr>
      <w:rPr>
        <w:rFonts w:ascii="Symbol" w:hAnsi="Symbo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0870EEA"/>
    <w:multiLevelType w:val="hybridMultilevel"/>
    <w:tmpl w:val="CC2A1E4A"/>
    <w:lvl w:ilvl="0" w:tplc="36247810">
      <w:start w:val="11"/>
      <w:numFmt w:val="bullet"/>
      <w:lvlText w:val="-"/>
      <w:lvlJc w:val="left"/>
      <w:pPr>
        <w:ind w:left="1080" w:hanging="360"/>
      </w:pPr>
      <w:rPr>
        <w:rFonts w:ascii="Times New Roman" w:eastAsia="Calibri" w:hAnsi="Times New Roman" w:cs="Times New Roman" w:hint="default"/>
      </w:rPr>
    </w:lvl>
    <w:lvl w:ilvl="1" w:tplc="042A0005">
      <w:start w:val="1"/>
      <w:numFmt w:val="bullet"/>
      <w:lvlText w:val=""/>
      <w:lvlJc w:val="left"/>
      <w:pPr>
        <w:ind w:left="1800" w:hanging="360"/>
      </w:pPr>
      <w:rPr>
        <w:rFonts w:ascii="Wingdings" w:hAnsi="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nsid w:val="20BF7D11"/>
    <w:multiLevelType w:val="hybridMultilevel"/>
    <w:tmpl w:val="77465EA2"/>
    <w:lvl w:ilvl="0" w:tplc="D72EB408">
      <w:start w:val="17"/>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196531"/>
    <w:multiLevelType w:val="hybridMultilevel"/>
    <w:tmpl w:val="38F2117E"/>
    <w:lvl w:ilvl="0" w:tplc="6D887DB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16B4275"/>
    <w:multiLevelType w:val="hybridMultilevel"/>
    <w:tmpl w:val="7F2AD726"/>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7509A6"/>
    <w:multiLevelType w:val="hybridMultilevel"/>
    <w:tmpl w:val="959CF49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4866EBA"/>
    <w:multiLevelType w:val="hybridMultilevel"/>
    <w:tmpl w:val="4482B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B07C9C"/>
    <w:multiLevelType w:val="hybridMultilevel"/>
    <w:tmpl w:val="827E82A4"/>
    <w:lvl w:ilvl="0" w:tplc="47D6663C">
      <w:start w:val="1"/>
      <w:numFmt w:val="bullet"/>
      <w:lvlText w:val="-"/>
      <w:lvlJc w:val="left"/>
      <w:pPr>
        <w:ind w:left="1332" w:hanging="360"/>
      </w:pPr>
      <w:rPr>
        <w:rFonts w:ascii="Times New Roman" w:eastAsia="Times New Roman" w:hAnsi="Times New Roman" w:cs="Times New Roman"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1">
    <w:nsid w:val="26430CB2"/>
    <w:multiLevelType w:val="hybridMultilevel"/>
    <w:tmpl w:val="8592D8B2"/>
    <w:lvl w:ilvl="0" w:tplc="7F46320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71166DF"/>
    <w:multiLevelType w:val="hybridMultilevel"/>
    <w:tmpl w:val="90442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312A8B"/>
    <w:multiLevelType w:val="hybridMultilevel"/>
    <w:tmpl w:val="99B4045C"/>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82155"/>
    <w:multiLevelType w:val="hybridMultilevel"/>
    <w:tmpl w:val="D624CCD8"/>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5C7B54"/>
    <w:multiLevelType w:val="multilevel"/>
    <w:tmpl w:val="3692CD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AF663E6"/>
    <w:multiLevelType w:val="hybridMultilevel"/>
    <w:tmpl w:val="504C0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D4D2A1B"/>
    <w:multiLevelType w:val="multilevel"/>
    <w:tmpl w:val="57DAD5AE"/>
    <w:lvl w:ilvl="0">
      <w:start w:val="17"/>
      <w:numFmt w:val="bullet"/>
      <w:lvlText w:val="-"/>
      <w:lvlJc w:val="left"/>
      <w:pPr>
        <w:ind w:left="1200" w:hanging="480"/>
      </w:pPr>
      <w:rPr>
        <w:rFonts w:ascii="Times New Roman" w:eastAsia="Calibri" w:hAnsi="Times New Roman" w:cs="Times New Roman" w:hint="default"/>
      </w:rPr>
    </w:lvl>
    <w:lvl w:ilvl="1">
      <w:start w:val="1"/>
      <w:numFmt w:val="lowerRoman"/>
      <w:lvlText w:val="(%2)"/>
      <w:lvlJc w:val="left"/>
      <w:pPr>
        <w:ind w:left="1560" w:hanging="48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130" w:hanging="1440"/>
      </w:pPr>
      <w:rPr>
        <w:rFonts w:hint="default"/>
      </w:rPr>
    </w:lvl>
    <w:lvl w:ilvl="8">
      <w:start w:val="1"/>
      <w:numFmt w:val="decimal"/>
      <w:lvlText w:val="%1.%2.%3.%4.%5.%6.%7.%8.%9."/>
      <w:lvlJc w:val="left"/>
      <w:pPr>
        <w:ind w:left="5940" w:hanging="1800"/>
      </w:pPr>
      <w:rPr>
        <w:rFonts w:hint="default"/>
      </w:rPr>
    </w:lvl>
  </w:abstractNum>
  <w:abstractNum w:abstractNumId="28">
    <w:nsid w:val="32053982"/>
    <w:multiLevelType w:val="hybridMultilevel"/>
    <w:tmpl w:val="906E56D6"/>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88604F"/>
    <w:multiLevelType w:val="hybridMultilevel"/>
    <w:tmpl w:val="EEF2690E"/>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8626AD"/>
    <w:multiLevelType w:val="hybridMultilevel"/>
    <w:tmpl w:val="E37223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EC722CF"/>
    <w:multiLevelType w:val="hybridMultilevel"/>
    <w:tmpl w:val="365C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04783E"/>
    <w:multiLevelType w:val="hybridMultilevel"/>
    <w:tmpl w:val="70B2F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F5BD4"/>
    <w:multiLevelType w:val="multilevel"/>
    <w:tmpl w:val="37A6470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352AD6"/>
    <w:multiLevelType w:val="multilevel"/>
    <w:tmpl w:val="2084D6BA"/>
    <w:lvl w:ilvl="0">
      <w:start w:val="1"/>
      <w:numFmt w:val="decimal"/>
      <w:pStyle w:val="Heading1"/>
      <w:lvlText w:val="Điều %1."/>
      <w:lvlJc w:val="left"/>
      <w:pPr>
        <w:ind w:left="360" w:hanging="360"/>
      </w:pPr>
      <w:rPr>
        <w:rFonts w:ascii="Times New Roman" w:hAnsi="Times New Roman" w:hint="default"/>
        <w:b/>
        <w:i w:val="0"/>
        <w:caps/>
        <w:sz w:val="26"/>
      </w:rPr>
    </w:lvl>
    <w:lvl w:ilvl="1">
      <w:start w:val="1"/>
      <w:numFmt w:val="decimal"/>
      <w:pStyle w:val="Heading2"/>
      <w:lvlText w:val="%1.%2."/>
      <w:lvlJc w:val="left"/>
      <w:pPr>
        <w:ind w:left="4212" w:hanging="432"/>
      </w:pPr>
      <w:rPr>
        <w:rFonts w:ascii="Times New Roman" w:hAnsi="Times New Roman" w:hint="default"/>
        <w:b/>
        <w:i w:val="0"/>
        <w:sz w:val="26"/>
      </w:rPr>
    </w:lvl>
    <w:lvl w:ilvl="2">
      <w:start w:val="1"/>
      <w:numFmt w:val="decimal"/>
      <w:pStyle w:val="Heading3"/>
      <w:lvlText w:val="%1.%2.%3."/>
      <w:lvlJc w:val="left"/>
      <w:pPr>
        <w:ind w:left="9864" w:hanging="504"/>
      </w:pPr>
      <w:rPr>
        <w:rFonts w:ascii="Times New Roman" w:hAnsi="Times New Roman" w:hint="default"/>
        <w:b/>
        <w:i w:val="0"/>
        <w:sz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58C1F81"/>
    <w:multiLevelType w:val="hybridMultilevel"/>
    <w:tmpl w:val="A05C9972"/>
    <w:lvl w:ilvl="0" w:tplc="B66265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401A04"/>
    <w:multiLevelType w:val="hybridMultilevel"/>
    <w:tmpl w:val="9BA0ED20"/>
    <w:lvl w:ilvl="0" w:tplc="852AFE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C4694C"/>
    <w:multiLevelType w:val="hybridMultilevel"/>
    <w:tmpl w:val="1AE88BDA"/>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396299"/>
    <w:multiLevelType w:val="hybridMultilevel"/>
    <w:tmpl w:val="A2784BD6"/>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B4660D3"/>
    <w:multiLevelType w:val="hybridMultilevel"/>
    <w:tmpl w:val="B7A276B0"/>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D537C5C"/>
    <w:multiLevelType w:val="multilevel"/>
    <w:tmpl w:val="1A688116"/>
    <w:lvl w:ilvl="0">
      <w:start w:val="1"/>
      <w:numFmt w:val="decimal"/>
      <w:lvlText w:val="%1."/>
      <w:lvlJc w:val="left"/>
      <w:pPr>
        <w:ind w:left="360" w:hanging="360"/>
      </w:pPr>
      <w:rPr>
        <w:rFonts w:hint="default"/>
      </w:rPr>
    </w:lvl>
    <w:lvl w:ilvl="1">
      <w:start w:val="1"/>
      <w:numFmt w:val="decimal"/>
      <w:pStyle w:val="Dinhnghia"/>
      <w:lvlText w:val="1.%2."/>
      <w:lvlJc w:val="left"/>
      <w:pPr>
        <w:ind w:left="61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F615BCE"/>
    <w:multiLevelType w:val="hybridMultilevel"/>
    <w:tmpl w:val="DEBC4C66"/>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5FB20CE1"/>
    <w:multiLevelType w:val="hybridMultilevel"/>
    <w:tmpl w:val="CD165328"/>
    <w:lvl w:ilvl="0" w:tplc="D72EB408">
      <w:start w:val="1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02F45C6"/>
    <w:multiLevelType w:val="hybridMultilevel"/>
    <w:tmpl w:val="E6B0B4F4"/>
    <w:lvl w:ilvl="0" w:tplc="707237F4">
      <w:numFmt w:val="bullet"/>
      <w:lvlText w:val="-"/>
      <w:lvlJc w:val="left"/>
      <w:pPr>
        <w:ind w:left="720" w:hanging="360"/>
      </w:pPr>
      <w:rPr>
        <w:rFonts w:ascii="GiovanniEFBook" w:eastAsiaTheme="minorHAnsi" w:hAnsi="GiovanniEF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880A2C"/>
    <w:multiLevelType w:val="hybridMultilevel"/>
    <w:tmpl w:val="DDF47908"/>
    <w:lvl w:ilvl="0" w:tplc="707237F4">
      <w:numFmt w:val="bullet"/>
      <w:lvlText w:val="-"/>
      <w:lvlJc w:val="left"/>
      <w:pPr>
        <w:ind w:left="720" w:hanging="360"/>
      </w:pPr>
      <w:rPr>
        <w:rFonts w:ascii="GiovanniEFBook" w:eastAsiaTheme="minorHAnsi" w:hAnsi="GiovanniEF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9E25B7"/>
    <w:multiLevelType w:val="hybridMultilevel"/>
    <w:tmpl w:val="BB1245CA"/>
    <w:lvl w:ilvl="0" w:tplc="D72EB408">
      <w:start w:val="17"/>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nsid w:val="62C74147"/>
    <w:multiLevelType w:val="hybridMultilevel"/>
    <w:tmpl w:val="02EA1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55127FA"/>
    <w:multiLevelType w:val="hybridMultilevel"/>
    <w:tmpl w:val="9ED039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7F14720"/>
    <w:multiLevelType w:val="multilevel"/>
    <w:tmpl w:val="DF30E34C"/>
    <w:lvl w:ilvl="0">
      <w:start w:val="7"/>
      <w:numFmt w:val="decimal"/>
      <w:lvlText w:val="%1."/>
      <w:lvlJc w:val="left"/>
      <w:pPr>
        <w:ind w:left="360" w:hanging="360"/>
      </w:pPr>
      <w:rPr>
        <w:rFonts w:hint="default"/>
      </w:rPr>
    </w:lvl>
    <w:lvl w:ilvl="1">
      <w:start w:val="1"/>
      <w:numFmt w:val="decimal"/>
      <w:lvlText w:val="%1.%2."/>
      <w:lvlJc w:val="left"/>
      <w:pPr>
        <w:ind w:left="207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8264AEF"/>
    <w:multiLevelType w:val="hybridMultilevel"/>
    <w:tmpl w:val="F18E9132"/>
    <w:lvl w:ilvl="0" w:tplc="BAEEC3D2">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2F7BBB"/>
    <w:multiLevelType w:val="hybridMultilevel"/>
    <w:tmpl w:val="0F687BF8"/>
    <w:lvl w:ilvl="0" w:tplc="707237F4">
      <w:numFmt w:val="bullet"/>
      <w:lvlText w:val="-"/>
      <w:lvlJc w:val="left"/>
      <w:pPr>
        <w:ind w:left="720" w:hanging="360"/>
      </w:pPr>
      <w:rPr>
        <w:rFonts w:ascii="GiovanniEFBook" w:eastAsiaTheme="minorHAnsi" w:hAnsi="GiovanniEF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4061C8"/>
    <w:multiLevelType w:val="hybridMultilevel"/>
    <w:tmpl w:val="F266F184"/>
    <w:lvl w:ilvl="0" w:tplc="BAEEC3D2">
      <w:numFmt w:val="bullet"/>
      <w:lvlText w:val="-"/>
      <w:lvlJc w:val="left"/>
      <w:pPr>
        <w:ind w:left="720" w:hanging="360"/>
      </w:pPr>
      <w:rPr>
        <w:rFonts w:ascii="Times New Roman" w:eastAsia="Calibri"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6A1485"/>
    <w:multiLevelType w:val="hybridMultilevel"/>
    <w:tmpl w:val="C53C0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0B10A3C"/>
    <w:multiLevelType w:val="hybridMultilevel"/>
    <w:tmpl w:val="040A3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4F3D71"/>
    <w:multiLevelType w:val="hybridMultilevel"/>
    <w:tmpl w:val="BBF8D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C060E9"/>
    <w:multiLevelType w:val="hybridMultilevel"/>
    <w:tmpl w:val="153C2396"/>
    <w:lvl w:ilvl="0" w:tplc="707237F4">
      <w:numFmt w:val="bullet"/>
      <w:lvlText w:val="-"/>
      <w:lvlJc w:val="left"/>
      <w:pPr>
        <w:ind w:left="720" w:hanging="360"/>
      </w:pPr>
      <w:rPr>
        <w:rFonts w:ascii="GiovanniEFBook" w:eastAsiaTheme="minorHAnsi" w:hAnsi="GiovanniEFBook"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77FC5CA5"/>
    <w:multiLevelType w:val="hybridMultilevel"/>
    <w:tmpl w:val="E070AB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F10FA5"/>
    <w:multiLevelType w:val="hybridMultilevel"/>
    <w:tmpl w:val="98F220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AEE3FB9"/>
    <w:multiLevelType w:val="hybridMultilevel"/>
    <w:tmpl w:val="448E606A"/>
    <w:lvl w:ilvl="0" w:tplc="883A8DE6">
      <w:start w:val="1"/>
      <w:numFmt w:val="lowerRoman"/>
      <w:lvlText w:val="(%1)"/>
      <w:lvlJc w:val="righ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7F2625F3"/>
    <w:multiLevelType w:val="hybridMultilevel"/>
    <w:tmpl w:val="4F0E5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900ECD"/>
    <w:multiLevelType w:val="hybridMultilevel"/>
    <w:tmpl w:val="FE4A0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4"/>
  </w:num>
  <w:num w:numId="2">
    <w:abstractNumId w:val="40"/>
  </w:num>
  <w:num w:numId="3">
    <w:abstractNumId w:val="41"/>
  </w:num>
  <w:num w:numId="4">
    <w:abstractNumId w:val="21"/>
  </w:num>
  <w:num w:numId="5">
    <w:abstractNumId w:val="30"/>
  </w:num>
  <w:num w:numId="6">
    <w:abstractNumId w:val="50"/>
  </w:num>
  <w:num w:numId="7">
    <w:abstractNumId w:val="43"/>
  </w:num>
  <w:num w:numId="8">
    <w:abstractNumId w:val="1"/>
  </w:num>
  <w:num w:numId="9">
    <w:abstractNumId w:val="24"/>
  </w:num>
  <w:num w:numId="10">
    <w:abstractNumId w:val="9"/>
  </w:num>
  <w:num w:numId="11">
    <w:abstractNumId w:val="29"/>
  </w:num>
  <w:num w:numId="12">
    <w:abstractNumId w:val="12"/>
  </w:num>
  <w:num w:numId="13">
    <w:abstractNumId w:val="47"/>
  </w:num>
  <w:num w:numId="14">
    <w:abstractNumId w:val="10"/>
  </w:num>
  <w:num w:numId="15">
    <w:abstractNumId w:val="51"/>
  </w:num>
  <w:num w:numId="16">
    <w:abstractNumId w:val="8"/>
  </w:num>
  <w:num w:numId="17">
    <w:abstractNumId w:val="59"/>
  </w:num>
  <w:num w:numId="18">
    <w:abstractNumId w:val="54"/>
  </w:num>
  <w:num w:numId="19">
    <w:abstractNumId w:val="0"/>
  </w:num>
  <w:num w:numId="20">
    <w:abstractNumId w:val="25"/>
  </w:num>
  <w:num w:numId="21">
    <w:abstractNumId w:val="26"/>
  </w:num>
  <w:num w:numId="22">
    <w:abstractNumId w:val="60"/>
  </w:num>
  <w:num w:numId="23">
    <w:abstractNumId w:val="31"/>
  </w:num>
  <w:num w:numId="24">
    <w:abstractNumId w:val="46"/>
  </w:num>
  <w:num w:numId="25">
    <w:abstractNumId w:val="17"/>
  </w:num>
  <w:num w:numId="26">
    <w:abstractNumId w:val="6"/>
  </w:num>
  <w:num w:numId="27">
    <w:abstractNumId w:val="42"/>
  </w:num>
  <w:num w:numId="28">
    <w:abstractNumId w:val="15"/>
  </w:num>
  <w:num w:numId="29">
    <w:abstractNumId w:val="53"/>
  </w:num>
  <w:num w:numId="30">
    <w:abstractNumId w:val="7"/>
  </w:num>
  <w:num w:numId="31">
    <w:abstractNumId w:val="4"/>
  </w:num>
  <w:num w:numId="32">
    <w:abstractNumId w:val="39"/>
  </w:num>
  <w:num w:numId="33">
    <w:abstractNumId w:val="22"/>
  </w:num>
  <w:num w:numId="34">
    <w:abstractNumId w:val="3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5"/>
  </w:num>
  <w:num w:numId="38">
    <w:abstractNumId w:val="3"/>
  </w:num>
  <w:num w:numId="39">
    <w:abstractNumId w:val="56"/>
  </w:num>
  <w:num w:numId="40">
    <w:abstractNumId w:val="37"/>
  </w:num>
  <w:num w:numId="41">
    <w:abstractNumId w:val="23"/>
  </w:num>
  <w:num w:numId="42">
    <w:abstractNumId w:val="49"/>
  </w:num>
  <w:num w:numId="43">
    <w:abstractNumId w:val="11"/>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5"/>
  </w:num>
  <w:num w:numId="47">
    <w:abstractNumId w:val="57"/>
  </w:num>
  <w:num w:numId="48">
    <w:abstractNumId w:val="19"/>
  </w:num>
  <w:num w:numId="49">
    <w:abstractNumId w:val="44"/>
  </w:num>
  <w:num w:numId="50">
    <w:abstractNumId w:val="2"/>
  </w:num>
  <w:num w:numId="51">
    <w:abstractNumId w:val="27"/>
  </w:num>
  <w:num w:numId="52">
    <w:abstractNumId w:val="48"/>
  </w:num>
  <w:num w:numId="53">
    <w:abstractNumId w:val="36"/>
  </w:num>
  <w:num w:numId="54">
    <w:abstractNumId w:val="33"/>
  </w:num>
  <w:num w:numId="55">
    <w:abstractNumId w:val="34"/>
  </w:num>
  <w:num w:numId="56">
    <w:abstractNumId w:val="18"/>
  </w:num>
  <w:num w:numId="57">
    <w:abstractNumId w:val="14"/>
  </w:num>
  <w:num w:numId="58">
    <w:abstractNumId w:val="34"/>
  </w:num>
  <w:num w:numId="59">
    <w:abstractNumId w:val="13"/>
  </w:num>
  <w:num w:numId="60">
    <w:abstractNumId w:val="55"/>
  </w:num>
  <w:num w:numId="61">
    <w:abstractNumId w:val="34"/>
  </w:num>
  <w:num w:numId="62">
    <w:abstractNumId w:val="34"/>
  </w:num>
  <w:num w:numId="63">
    <w:abstractNumId w:val="28"/>
  </w:num>
  <w:num w:numId="64">
    <w:abstractNumId w:val="58"/>
  </w:num>
  <w:num w:numId="65">
    <w:abstractNumId w:val="20"/>
  </w:num>
  <w:num w:numId="66">
    <w:abstractNumId w:val="52"/>
  </w:num>
  <w:num w:numId="67">
    <w:abstractNumId w:val="3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2226"/>
  </w:hdrShapeDefaults>
  <w:footnotePr>
    <w:footnote w:id="0"/>
    <w:footnote w:id="1"/>
    <w:footnote w:id="2"/>
  </w:footnotePr>
  <w:endnotePr>
    <w:endnote w:id="0"/>
    <w:endnote w:id="1"/>
    <w:endnote w:id="2"/>
  </w:endnotePr>
  <w:compat/>
  <w:rsids>
    <w:rsidRoot w:val="007908FB"/>
    <w:rsid w:val="00000025"/>
    <w:rsid w:val="0000040F"/>
    <w:rsid w:val="00020659"/>
    <w:rsid w:val="000206DE"/>
    <w:rsid w:val="00021A2A"/>
    <w:rsid w:val="00023605"/>
    <w:rsid w:val="000254A1"/>
    <w:rsid w:val="00026A91"/>
    <w:rsid w:val="00036284"/>
    <w:rsid w:val="000435D8"/>
    <w:rsid w:val="00045148"/>
    <w:rsid w:val="00046DDA"/>
    <w:rsid w:val="00047D1D"/>
    <w:rsid w:val="00051E31"/>
    <w:rsid w:val="00052FE1"/>
    <w:rsid w:val="0005419E"/>
    <w:rsid w:val="000553D5"/>
    <w:rsid w:val="00055C12"/>
    <w:rsid w:val="00056BBC"/>
    <w:rsid w:val="00057073"/>
    <w:rsid w:val="000624B9"/>
    <w:rsid w:val="00063FFE"/>
    <w:rsid w:val="000660BB"/>
    <w:rsid w:val="00071BC3"/>
    <w:rsid w:val="00072BB8"/>
    <w:rsid w:val="000756A9"/>
    <w:rsid w:val="00084F42"/>
    <w:rsid w:val="00085CDB"/>
    <w:rsid w:val="00086647"/>
    <w:rsid w:val="000A1CE7"/>
    <w:rsid w:val="000C2D70"/>
    <w:rsid w:val="000C2EAE"/>
    <w:rsid w:val="000C4D6D"/>
    <w:rsid w:val="000C5AB7"/>
    <w:rsid w:val="000D205D"/>
    <w:rsid w:val="000D39D9"/>
    <w:rsid w:val="000D45BE"/>
    <w:rsid w:val="000D790D"/>
    <w:rsid w:val="000E2BA1"/>
    <w:rsid w:val="000F3CD3"/>
    <w:rsid w:val="000F4265"/>
    <w:rsid w:val="000F7311"/>
    <w:rsid w:val="00100154"/>
    <w:rsid w:val="00101AF5"/>
    <w:rsid w:val="001025CD"/>
    <w:rsid w:val="00104FDD"/>
    <w:rsid w:val="00106A94"/>
    <w:rsid w:val="001119CE"/>
    <w:rsid w:val="00113137"/>
    <w:rsid w:val="00115880"/>
    <w:rsid w:val="00115AED"/>
    <w:rsid w:val="00116371"/>
    <w:rsid w:val="00124829"/>
    <w:rsid w:val="00125406"/>
    <w:rsid w:val="00126967"/>
    <w:rsid w:val="001302A8"/>
    <w:rsid w:val="001342F2"/>
    <w:rsid w:val="00134477"/>
    <w:rsid w:val="0013686C"/>
    <w:rsid w:val="0013721F"/>
    <w:rsid w:val="00137962"/>
    <w:rsid w:val="001402A2"/>
    <w:rsid w:val="00140BA1"/>
    <w:rsid w:val="00142210"/>
    <w:rsid w:val="00151B5C"/>
    <w:rsid w:val="00152388"/>
    <w:rsid w:val="001527F3"/>
    <w:rsid w:val="00154489"/>
    <w:rsid w:val="0015517B"/>
    <w:rsid w:val="001558E8"/>
    <w:rsid w:val="001569AD"/>
    <w:rsid w:val="00162916"/>
    <w:rsid w:val="00162B67"/>
    <w:rsid w:val="001704DD"/>
    <w:rsid w:val="00170F2F"/>
    <w:rsid w:val="001743B0"/>
    <w:rsid w:val="00176F9A"/>
    <w:rsid w:val="00177687"/>
    <w:rsid w:val="00177FD8"/>
    <w:rsid w:val="00180C23"/>
    <w:rsid w:val="00181341"/>
    <w:rsid w:val="0018174F"/>
    <w:rsid w:val="001819FF"/>
    <w:rsid w:val="00184778"/>
    <w:rsid w:val="0018492E"/>
    <w:rsid w:val="0018573A"/>
    <w:rsid w:val="00191B99"/>
    <w:rsid w:val="00191DFF"/>
    <w:rsid w:val="00193339"/>
    <w:rsid w:val="001A31EC"/>
    <w:rsid w:val="001A4E76"/>
    <w:rsid w:val="001A73D0"/>
    <w:rsid w:val="001B4BF9"/>
    <w:rsid w:val="001C13DA"/>
    <w:rsid w:val="001C2E20"/>
    <w:rsid w:val="001C2FB9"/>
    <w:rsid w:val="001C56EF"/>
    <w:rsid w:val="001D0F0D"/>
    <w:rsid w:val="001D3EF1"/>
    <w:rsid w:val="001D5022"/>
    <w:rsid w:val="001E089D"/>
    <w:rsid w:val="001E16BE"/>
    <w:rsid w:val="001E5E0A"/>
    <w:rsid w:val="001E7A99"/>
    <w:rsid w:val="001F21D3"/>
    <w:rsid w:val="00200783"/>
    <w:rsid w:val="00200DDF"/>
    <w:rsid w:val="00202CFB"/>
    <w:rsid w:val="00206FD1"/>
    <w:rsid w:val="0020760C"/>
    <w:rsid w:val="00212C2C"/>
    <w:rsid w:val="00220C99"/>
    <w:rsid w:val="0022195A"/>
    <w:rsid w:val="00227B54"/>
    <w:rsid w:val="002348E4"/>
    <w:rsid w:val="00235A2F"/>
    <w:rsid w:val="0024177C"/>
    <w:rsid w:val="00242B35"/>
    <w:rsid w:val="00253F0A"/>
    <w:rsid w:val="002551D9"/>
    <w:rsid w:val="00255B15"/>
    <w:rsid w:val="002566A2"/>
    <w:rsid w:val="00262A2E"/>
    <w:rsid w:val="00262ACC"/>
    <w:rsid w:val="0026525A"/>
    <w:rsid w:val="00266577"/>
    <w:rsid w:val="00272791"/>
    <w:rsid w:val="00275D29"/>
    <w:rsid w:val="00275E8D"/>
    <w:rsid w:val="00276C4D"/>
    <w:rsid w:val="00294D23"/>
    <w:rsid w:val="0029542F"/>
    <w:rsid w:val="0029593B"/>
    <w:rsid w:val="002963C8"/>
    <w:rsid w:val="002A1513"/>
    <w:rsid w:val="002A4CDB"/>
    <w:rsid w:val="002B2C20"/>
    <w:rsid w:val="002B4F1F"/>
    <w:rsid w:val="002B5323"/>
    <w:rsid w:val="002B7331"/>
    <w:rsid w:val="002C0B3A"/>
    <w:rsid w:val="002C5886"/>
    <w:rsid w:val="002C738C"/>
    <w:rsid w:val="002E56E6"/>
    <w:rsid w:val="002F1FA3"/>
    <w:rsid w:val="002F2452"/>
    <w:rsid w:val="002F2FC5"/>
    <w:rsid w:val="002F4BA1"/>
    <w:rsid w:val="00306722"/>
    <w:rsid w:val="00313B49"/>
    <w:rsid w:val="00317875"/>
    <w:rsid w:val="00323B4B"/>
    <w:rsid w:val="00323F36"/>
    <w:rsid w:val="00324697"/>
    <w:rsid w:val="00326B7B"/>
    <w:rsid w:val="00333F3C"/>
    <w:rsid w:val="00347071"/>
    <w:rsid w:val="003503ED"/>
    <w:rsid w:val="003537F8"/>
    <w:rsid w:val="00353FBB"/>
    <w:rsid w:val="003577C0"/>
    <w:rsid w:val="00361AD2"/>
    <w:rsid w:val="003621ED"/>
    <w:rsid w:val="00364EEB"/>
    <w:rsid w:val="003669EB"/>
    <w:rsid w:val="0036777D"/>
    <w:rsid w:val="00370135"/>
    <w:rsid w:val="003701DD"/>
    <w:rsid w:val="00371ADB"/>
    <w:rsid w:val="003807E3"/>
    <w:rsid w:val="0038234B"/>
    <w:rsid w:val="0038684E"/>
    <w:rsid w:val="00395710"/>
    <w:rsid w:val="00396F4E"/>
    <w:rsid w:val="003A7B70"/>
    <w:rsid w:val="003B5F35"/>
    <w:rsid w:val="003C06D9"/>
    <w:rsid w:val="003C4D3E"/>
    <w:rsid w:val="003C61A7"/>
    <w:rsid w:val="003D0152"/>
    <w:rsid w:val="003D129F"/>
    <w:rsid w:val="003D5A3E"/>
    <w:rsid w:val="003E31BC"/>
    <w:rsid w:val="003E38B1"/>
    <w:rsid w:val="003E4D0C"/>
    <w:rsid w:val="003E512F"/>
    <w:rsid w:val="003F24FB"/>
    <w:rsid w:val="003F2682"/>
    <w:rsid w:val="003F5990"/>
    <w:rsid w:val="00403FEC"/>
    <w:rsid w:val="00410388"/>
    <w:rsid w:val="00411AF9"/>
    <w:rsid w:val="004122D1"/>
    <w:rsid w:val="004173B9"/>
    <w:rsid w:val="004207D7"/>
    <w:rsid w:val="004207FE"/>
    <w:rsid w:val="00421000"/>
    <w:rsid w:val="00423026"/>
    <w:rsid w:val="004234A4"/>
    <w:rsid w:val="004242EA"/>
    <w:rsid w:val="00437072"/>
    <w:rsid w:val="004405ED"/>
    <w:rsid w:val="004420AC"/>
    <w:rsid w:val="00444F09"/>
    <w:rsid w:val="00446402"/>
    <w:rsid w:val="00450284"/>
    <w:rsid w:val="00453E95"/>
    <w:rsid w:val="004541F0"/>
    <w:rsid w:val="00464A67"/>
    <w:rsid w:val="00464B29"/>
    <w:rsid w:val="00464E54"/>
    <w:rsid w:val="004708A3"/>
    <w:rsid w:val="004708F0"/>
    <w:rsid w:val="004740E9"/>
    <w:rsid w:val="004759B9"/>
    <w:rsid w:val="00476360"/>
    <w:rsid w:val="00482F66"/>
    <w:rsid w:val="00482F83"/>
    <w:rsid w:val="004834FF"/>
    <w:rsid w:val="00491DC1"/>
    <w:rsid w:val="00491F26"/>
    <w:rsid w:val="00496442"/>
    <w:rsid w:val="004A0FDD"/>
    <w:rsid w:val="004A136E"/>
    <w:rsid w:val="004A1B81"/>
    <w:rsid w:val="004A24BD"/>
    <w:rsid w:val="004A5E27"/>
    <w:rsid w:val="004B36B9"/>
    <w:rsid w:val="004E51BD"/>
    <w:rsid w:val="004F03F4"/>
    <w:rsid w:val="004F2BBC"/>
    <w:rsid w:val="0050007A"/>
    <w:rsid w:val="00502151"/>
    <w:rsid w:val="00511164"/>
    <w:rsid w:val="00524BCF"/>
    <w:rsid w:val="00526822"/>
    <w:rsid w:val="00527847"/>
    <w:rsid w:val="00531CD5"/>
    <w:rsid w:val="005368E3"/>
    <w:rsid w:val="00544BFE"/>
    <w:rsid w:val="00545836"/>
    <w:rsid w:val="005473B5"/>
    <w:rsid w:val="00547447"/>
    <w:rsid w:val="00555FED"/>
    <w:rsid w:val="005602C2"/>
    <w:rsid w:val="00561A5B"/>
    <w:rsid w:val="005644BD"/>
    <w:rsid w:val="0057266B"/>
    <w:rsid w:val="0057299B"/>
    <w:rsid w:val="005736FA"/>
    <w:rsid w:val="00590059"/>
    <w:rsid w:val="00593C7F"/>
    <w:rsid w:val="005A1A4A"/>
    <w:rsid w:val="005B289C"/>
    <w:rsid w:val="005B3500"/>
    <w:rsid w:val="005B3B3B"/>
    <w:rsid w:val="005B42E2"/>
    <w:rsid w:val="005B4AC5"/>
    <w:rsid w:val="005B5614"/>
    <w:rsid w:val="005B7A83"/>
    <w:rsid w:val="005C0366"/>
    <w:rsid w:val="005C163A"/>
    <w:rsid w:val="005C1CA6"/>
    <w:rsid w:val="005C47E2"/>
    <w:rsid w:val="005C5AEF"/>
    <w:rsid w:val="005E0584"/>
    <w:rsid w:val="005E303D"/>
    <w:rsid w:val="005E59DF"/>
    <w:rsid w:val="005E6916"/>
    <w:rsid w:val="005F27E9"/>
    <w:rsid w:val="005F2814"/>
    <w:rsid w:val="005F6A30"/>
    <w:rsid w:val="00600C93"/>
    <w:rsid w:val="00607550"/>
    <w:rsid w:val="00611464"/>
    <w:rsid w:val="006141B9"/>
    <w:rsid w:val="006178DE"/>
    <w:rsid w:val="00625B04"/>
    <w:rsid w:val="00627332"/>
    <w:rsid w:val="006313E1"/>
    <w:rsid w:val="00642187"/>
    <w:rsid w:val="00643607"/>
    <w:rsid w:val="006460ED"/>
    <w:rsid w:val="006471C0"/>
    <w:rsid w:val="0065380C"/>
    <w:rsid w:val="00660222"/>
    <w:rsid w:val="00664DE8"/>
    <w:rsid w:val="0066730E"/>
    <w:rsid w:val="00670B4F"/>
    <w:rsid w:val="00673ACB"/>
    <w:rsid w:val="0068328B"/>
    <w:rsid w:val="00693C66"/>
    <w:rsid w:val="00697ACF"/>
    <w:rsid w:val="006A23F7"/>
    <w:rsid w:val="006A70D5"/>
    <w:rsid w:val="006B1918"/>
    <w:rsid w:val="006B5FA5"/>
    <w:rsid w:val="006B7605"/>
    <w:rsid w:val="006C34C0"/>
    <w:rsid w:val="006C6884"/>
    <w:rsid w:val="006D09E3"/>
    <w:rsid w:val="006D29AC"/>
    <w:rsid w:val="006E0C8E"/>
    <w:rsid w:val="006E3555"/>
    <w:rsid w:val="006F1703"/>
    <w:rsid w:val="006F2F4C"/>
    <w:rsid w:val="006F4C24"/>
    <w:rsid w:val="006F54C6"/>
    <w:rsid w:val="006F5E91"/>
    <w:rsid w:val="007003FB"/>
    <w:rsid w:val="00701135"/>
    <w:rsid w:val="007030B3"/>
    <w:rsid w:val="00704428"/>
    <w:rsid w:val="00707E64"/>
    <w:rsid w:val="00710465"/>
    <w:rsid w:val="007138A5"/>
    <w:rsid w:val="00713A0F"/>
    <w:rsid w:val="0071492D"/>
    <w:rsid w:val="00732668"/>
    <w:rsid w:val="00736A04"/>
    <w:rsid w:val="007411AA"/>
    <w:rsid w:val="00747AE3"/>
    <w:rsid w:val="00747E2D"/>
    <w:rsid w:val="00755ABA"/>
    <w:rsid w:val="0076424C"/>
    <w:rsid w:val="00764CBF"/>
    <w:rsid w:val="00767F25"/>
    <w:rsid w:val="00773B1D"/>
    <w:rsid w:val="0078077B"/>
    <w:rsid w:val="0078088A"/>
    <w:rsid w:val="00790091"/>
    <w:rsid w:val="007908FB"/>
    <w:rsid w:val="007928B9"/>
    <w:rsid w:val="007942DA"/>
    <w:rsid w:val="007A255D"/>
    <w:rsid w:val="007A485A"/>
    <w:rsid w:val="007B2090"/>
    <w:rsid w:val="007B267C"/>
    <w:rsid w:val="007B5E77"/>
    <w:rsid w:val="007C2C2E"/>
    <w:rsid w:val="007C7FEE"/>
    <w:rsid w:val="007D3569"/>
    <w:rsid w:val="007D3625"/>
    <w:rsid w:val="007D43C1"/>
    <w:rsid w:val="007F1CB0"/>
    <w:rsid w:val="007F26A9"/>
    <w:rsid w:val="0080632F"/>
    <w:rsid w:val="008141B7"/>
    <w:rsid w:val="00820C60"/>
    <w:rsid w:val="00833959"/>
    <w:rsid w:val="00834E9F"/>
    <w:rsid w:val="008354E0"/>
    <w:rsid w:val="00840077"/>
    <w:rsid w:val="0084066A"/>
    <w:rsid w:val="00846091"/>
    <w:rsid w:val="00850AB9"/>
    <w:rsid w:val="00852228"/>
    <w:rsid w:val="00854F9F"/>
    <w:rsid w:val="008554FB"/>
    <w:rsid w:val="00862FEC"/>
    <w:rsid w:val="0087060B"/>
    <w:rsid w:val="0087254F"/>
    <w:rsid w:val="00880B05"/>
    <w:rsid w:val="00882663"/>
    <w:rsid w:val="00883F87"/>
    <w:rsid w:val="0088760D"/>
    <w:rsid w:val="008878ED"/>
    <w:rsid w:val="0089398A"/>
    <w:rsid w:val="008942F6"/>
    <w:rsid w:val="008967A0"/>
    <w:rsid w:val="00897DAF"/>
    <w:rsid w:val="008A3E24"/>
    <w:rsid w:val="008A46A7"/>
    <w:rsid w:val="008B1E98"/>
    <w:rsid w:val="008B21DF"/>
    <w:rsid w:val="008C2019"/>
    <w:rsid w:val="008C4FC7"/>
    <w:rsid w:val="008C7EB5"/>
    <w:rsid w:val="008D06D5"/>
    <w:rsid w:val="008E3E2E"/>
    <w:rsid w:val="008E46A4"/>
    <w:rsid w:val="008E6BCD"/>
    <w:rsid w:val="008E72A3"/>
    <w:rsid w:val="008F174B"/>
    <w:rsid w:val="008F1A45"/>
    <w:rsid w:val="008F4EA2"/>
    <w:rsid w:val="008F6999"/>
    <w:rsid w:val="0090011C"/>
    <w:rsid w:val="00900128"/>
    <w:rsid w:val="00901834"/>
    <w:rsid w:val="00902CEB"/>
    <w:rsid w:val="00904F8F"/>
    <w:rsid w:val="00907D3C"/>
    <w:rsid w:val="00910CF4"/>
    <w:rsid w:val="00915CA5"/>
    <w:rsid w:val="0092166C"/>
    <w:rsid w:val="00923BD0"/>
    <w:rsid w:val="0092579B"/>
    <w:rsid w:val="009323A6"/>
    <w:rsid w:val="00933F87"/>
    <w:rsid w:val="00941CCD"/>
    <w:rsid w:val="00944E6D"/>
    <w:rsid w:val="009457F8"/>
    <w:rsid w:val="009461E9"/>
    <w:rsid w:val="009463ED"/>
    <w:rsid w:val="00953F5B"/>
    <w:rsid w:val="00956052"/>
    <w:rsid w:val="00956E54"/>
    <w:rsid w:val="009600B3"/>
    <w:rsid w:val="00963B2B"/>
    <w:rsid w:val="00964519"/>
    <w:rsid w:val="009669BF"/>
    <w:rsid w:val="009703B0"/>
    <w:rsid w:val="009800DB"/>
    <w:rsid w:val="0098066B"/>
    <w:rsid w:val="00982475"/>
    <w:rsid w:val="0098493E"/>
    <w:rsid w:val="009874B8"/>
    <w:rsid w:val="00990FB0"/>
    <w:rsid w:val="00994405"/>
    <w:rsid w:val="00994ADF"/>
    <w:rsid w:val="00996D6F"/>
    <w:rsid w:val="009A0878"/>
    <w:rsid w:val="009A12EB"/>
    <w:rsid w:val="009B28E0"/>
    <w:rsid w:val="009B6834"/>
    <w:rsid w:val="009C21F1"/>
    <w:rsid w:val="009C30B7"/>
    <w:rsid w:val="009C69BD"/>
    <w:rsid w:val="009D10C5"/>
    <w:rsid w:val="009D1236"/>
    <w:rsid w:val="009D1401"/>
    <w:rsid w:val="009D680D"/>
    <w:rsid w:val="009D7FA6"/>
    <w:rsid w:val="009E2DCA"/>
    <w:rsid w:val="009E7DAA"/>
    <w:rsid w:val="009F3DE8"/>
    <w:rsid w:val="009F5544"/>
    <w:rsid w:val="00A019AC"/>
    <w:rsid w:val="00A03BBD"/>
    <w:rsid w:val="00A109E5"/>
    <w:rsid w:val="00A10BE2"/>
    <w:rsid w:val="00A17067"/>
    <w:rsid w:val="00A20F4E"/>
    <w:rsid w:val="00A22613"/>
    <w:rsid w:val="00A2320C"/>
    <w:rsid w:val="00A256C0"/>
    <w:rsid w:val="00A31573"/>
    <w:rsid w:val="00A4004C"/>
    <w:rsid w:val="00A4055B"/>
    <w:rsid w:val="00A40F6A"/>
    <w:rsid w:val="00A45050"/>
    <w:rsid w:val="00A51DDD"/>
    <w:rsid w:val="00A52A01"/>
    <w:rsid w:val="00A559B4"/>
    <w:rsid w:val="00A5680A"/>
    <w:rsid w:val="00A57403"/>
    <w:rsid w:val="00A621FE"/>
    <w:rsid w:val="00A67320"/>
    <w:rsid w:val="00A72DA2"/>
    <w:rsid w:val="00A835C2"/>
    <w:rsid w:val="00A90876"/>
    <w:rsid w:val="00A90F61"/>
    <w:rsid w:val="00A91971"/>
    <w:rsid w:val="00A92FB1"/>
    <w:rsid w:val="00A93525"/>
    <w:rsid w:val="00AB3CEC"/>
    <w:rsid w:val="00AC0390"/>
    <w:rsid w:val="00AC4201"/>
    <w:rsid w:val="00AD29C8"/>
    <w:rsid w:val="00AD73B7"/>
    <w:rsid w:val="00AE54B8"/>
    <w:rsid w:val="00AF04E1"/>
    <w:rsid w:val="00AF1077"/>
    <w:rsid w:val="00AF41C2"/>
    <w:rsid w:val="00AF5E62"/>
    <w:rsid w:val="00B01968"/>
    <w:rsid w:val="00B04B8C"/>
    <w:rsid w:val="00B05841"/>
    <w:rsid w:val="00B12170"/>
    <w:rsid w:val="00B17A77"/>
    <w:rsid w:val="00B23499"/>
    <w:rsid w:val="00B234DE"/>
    <w:rsid w:val="00B25997"/>
    <w:rsid w:val="00B306FB"/>
    <w:rsid w:val="00B347EE"/>
    <w:rsid w:val="00B51509"/>
    <w:rsid w:val="00B5218D"/>
    <w:rsid w:val="00B53530"/>
    <w:rsid w:val="00B607C3"/>
    <w:rsid w:val="00B65C86"/>
    <w:rsid w:val="00B6697A"/>
    <w:rsid w:val="00B72C6F"/>
    <w:rsid w:val="00B768A1"/>
    <w:rsid w:val="00B90DB7"/>
    <w:rsid w:val="00B90E3F"/>
    <w:rsid w:val="00B9336D"/>
    <w:rsid w:val="00B949D4"/>
    <w:rsid w:val="00B94A1C"/>
    <w:rsid w:val="00B95932"/>
    <w:rsid w:val="00B97089"/>
    <w:rsid w:val="00BA41F6"/>
    <w:rsid w:val="00BA4B69"/>
    <w:rsid w:val="00BB6D94"/>
    <w:rsid w:val="00BB701C"/>
    <w:rsid w:val="00BC3A54"/>
    <w:rsid w:val="00BC3CA7"/>
    <w:rsid w:val="00BE3297"/>
    <w:rsid w:val="00BE76E1"/>
    <w:rsid w:val="00BF0049"/>
    <w:rsid w:val="00BF087A"/>
    <w:rsid w:val="00BF24C4"/>
    <w:rsid w:val="00BF2847"/>
    <w:rsid w:val="00C04008"/>
    <w:rsid w:val="00C13F17"/>
    <w:rsid w:val="00C14826"/>
    <w:rsid w:val="00C15E30"/>
    <w:rsid w:val="00C20190"/>
    <w:rsid w:val="00C25BF1"/>
    <w:rsid w:val="00C25EBD"/>
    <w:rsid w:val="00C37CA2"/>
    <w:rsid w:val="00C41292"/>
    <w:rsid w:val="00C414CC"/>
    <w:rsid w:val="00C44368"/>
    <w:rsid w:val="00C53581"/>
    <w:rsid w:val="00C53D14"/>
    <w:rsid w:val="00C55FBA"/>
    <w:rsid w:val="00C55FFA"/>
    <w:rsid w:val="00C57564"/>
    <w:rsid w:val="00C610C0"/>
    <w:rsid w:val="00C70C85"/>
    <w:rsid w:val="00C82911"/>
    <w:rsid w:val="00C84B91"/>
    <w:rsid w:val="00C86D1B"/>
    <w:rsid w:val="00C92981"/>
    <w:rsid w:val="00C93E6C"/>
    <w:rsid w:val="00C947EB"/>
    <w:rsid w:val="00C95392"/>
    <w:rsid w:val="00CA329A"/>
    <w:rsid w:val="00CA38F4"/>
    <w:rsid w:val="00CB28B4"/>
    <w:rsid w:val="00CB3CEF"/>
    <w:rsid w:val="00CB7594"/>
    <w:rsid w:val="00CC0A36"/>
    <w:rsid w:val="00CC1C22"/>
    <w:rsid w:val="00CC2623"/>
    <w:rsid w:val="00CC43DC"/>
    <w:rsid w:val="00CC63B6"/>
    <w:rsid w:val="00CD272A"/>
    <w:rsid w:val="00CD31A7"/>
    <w:rsid w:val="00CD3D9B"/>
    <w:rsid w:val="00CE7A16"/>
    <w:rsid w:val="00CF0BB3"/>
    <w:rsid w:val="00CF0D87"/>
    <w:rsid w:val="00CF2F67"/>
    <w:rsid w:val="00D01742"/>
    <w:rsid w:val="00D06262"/>
    <w:rsid w:val="00D12976"/>
    <w:rsid w:val="00D13763"/>
    <w:rsid w:val="00D13B3F"/>
    <w:rsid w:val="00D32EEB"/>
    <w:rsid w:val="00D3586F"/>
    <w:rsid w:val="00D37F98"/>
    <w:rsid w:val="00D40A82"/>
    <w:rsid w:val="00D40B48"/>
    <w:rsid w:val="00D45519"/>
    <w:rsid w:val="00D47927"/>
    <w:rsid w:val="00D5118A"/>
    <w:rsid w:val="00D518F1"/>
    <w:rsid w:val="00D52BF7"/>
    <w:rsid w:val="00D57FE7"/>
    <w:rsid w:val="00D60C23"/>
    <w:rsid w:val="00D60E8C"/>
    <w:rsid w:val="00D6549C"/>
    <w:rsid w:val="00D72130"/>
    <w:rsid w:val="00D72C56"/>
    <w:rsid w:val="00D82498"/>
    <w:rsid w:val="00D92A44"/>
    <w:rsid w:val="00D963E8"/>
    <w:rsid w:val="00D97378"/>
    <w:rsid w:val="00DA037E"/>
    <w:rsid w:val="00DA543F"/>
    <w:rsid w:val="00DA5629"/>
    <w:rsid w:val="00DA5C68"/>
    <w:rsid w:val="00DA6051"/>
    <w:rsid w:val="00DB0DBD"/>
    <w:rsid w:val="00DB7C22"/>
    <w:rsid w:val="00DC22EF"/>
    <w:rsid w:val="00DC70DB"/>
    <w:rsid w:val="00DD2ACD"/>
    <w:rsid w:val="00DD402D"/>
    <w:rsid w:val="00DD4A11"/>
    <w:rsid w:val="00DD4DE2"/>
    <w:rsid w:val="00DD5C8F"/>
    <w:rsid w:val="00DE3788"/>
    <w:rsid w:val="00DF431B"/>
    <w:rsid w:val="00DF6103"/>
    <w:rsid w:val="00DF7A13"/>
    <w:rsid w:val="00E0018D"/>
    <w:rsid w:val="00E044E8"/>
    <w:rsid w:val="00E06DBC"/>
    <w:rsid w:val="00E1109D"/>
    <w:rsid w:val="00E143D8"/>
    <w:rsid w:val="00E157A2"/>
    <w:rsid w:val="00E2559B"/>
    <w:rsid w:val="00E305F7"/>
    <w:rsid w:val="00E307A9"/>
    <w:rsid w:val="00E33240"/>
    <w:rsid w:val="00E34247"/>
    <w:rsid w:val="00E344F6"/>
    <w:rsid w:val="00E347B0"/>
    <w:rsid w:val="00E35245"/>
    <w:rsid w:val="00E43997"/>
    <w:rsid w:val="00E43A9F"/>
    <w:rsid w:val="00E46293"/>
    <w:rsid w:val="00E4724C"/>
    <w:rsid w:val="00E510BD"/>
    <w:rsid w:val="00E5504E"/>
    <w:rsid w:val="00E55497"/>
    <w:rsid w:val="00E56772"/>
    <w:rsid w:val="00E610B7"/>
    <w:rsid w:val="00E62061"/>
    <w:rsid w:val="00E652CE"/>
    <w:rsid w:val="00E70673"/>
    <w:rsid w:val="00E76765"/>
    <w:rsid w:val="00E84674"/>
    <w:rsid w:val="00E86B96"/>
    <w:rsid w:val="00E908D0"/>
    <w:rsid w:val="00E90AE9"/>
    <w:rsid w:val="00E92DBE"/>
    <w:rsid w:val="00E9457D"/>
    <w:rsid w:val="00E97321"/>
    <w:rsid w:val="00EA21B1"/>
    <w:rsid w:val="00EA7EFF"/>
    <w:rsid w:val="00EB0293"/>
    <w:rsid w:val="00EB685D"/>
    <w:rsid w:val="00EC143D"/>
    <w:rsid w:val="00EC258A"/>
    <w:rsid w:val="00EC2B21"/>
    <w:rsid w:val="00EC3770"/>
    <w:rsid w:val="00EC58B7"/>
    <w:rsid w:val="00EC7A3F"/>
    <w:rsid w:val="00ED0E0E"/>
    <w:rsid w:val="00ED5C1A"/>
    <w:rsid w:val="00EE6595"/>
    <w:rsid w:val="00EE6CCA"/>
    <w:rsid w:val="00EF4D5C"/>
    <w:rsid w:val="00EF5BDA"/>
    <w:rsid w:val="00EF7C91"/>
    <w:rsid w:val="00F05FEA"/>
    <w:rsid w:val="00F070AF"/>
    <w:rsid w:val="00F112D6"/>
    <w:rsid w:val="00F13DE3"/>
    <w:rsid w:val="00F20E66"/>
    <w:rsid w:val="00F21037"/>
    <w:rsid w:val="00F23089"/>
    <w:rsid w:val="00F24DCF"/>
    <w:rsid w:val="00F259B7"/>
    <w:rsid w:val="00F331B3"/>
    <w:rsid w:val="00F35811"/>
    <w:rsid w:val="00F41053"/>
    <w:rsid w:val="00F42265"/>
    <w:rsid w:val="00F42BA2"/>
    <w:rsid w:val="00F44159"/>
    <w:rsid w:val="00F4507F"/>
    <w:rsid w:val="00F552A2"/>
    <w:rsid w:val="00F55D13"/>
    <w:rsid w:val="00F60BAF"/>
    <w:rsid w:val="00F6450D"/>
    <w:rsid w:val="00F66C12"/>
    <w:rsid w:val="00F70CA2"/>
    <w:rsid w:val="00F77344"/>
    <w:rsid w:val="00F83C42"/>
    <w:rsid w:val="00F85880"/>
    <w:rsid w:val="00F85C58"/>
    <w:rsid w:val="00FA36D5"/>
    <w:rsid w:val="00FA51FD"/>
    <w:rsid w:val="00FA6749"/>
    <w:rsid w:val="00FA78D9"/>
    <w:rsid w:val="00FB3F68"/>
    <w:rsid w:val="00FB4555"/>
    <w:rsid w:val="00FB4F22"/>
    <w:rsid w:val="00FB6C42"/>
    <w:rsid w:val="00FC2A7C"/>
    <w:rsid w:val="00FC5CA0"/>
    <w:rsid w:val="00FC75E2"/>
    <w:rsid w:val="00FC7E6E"/>
    <w:rsid w:val="00FD1003"/>
    <w:rsid w:val="00FD1D69"/>
    <w:rsid w:val="00FD312D"/>
    <w:rsid w:val="00FE0380"/>
    <w:rsid w:val="00FE1D95"/>
    <w:rsid w:val="00FE654F"/>
    <w:rsid w:val="00FF0FC9"/>
    <w:rsid w:val="00FF102B"/>
    <w:rsid w:val="00FF4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3" w:unhideWhenUsed="0" w:qFormat="1"/>
    <w:lsdException w:name="heading 1" w:semiHidden="0" w:uiPriority="1" w:unhideWhenUsed="0"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qFormat/>
    <w:rsid w:val="004E51BD"/>
    <w:pPr>
      <w:spacing w:before="120"/>
    </w:pPr>
    <w:rPr>
      <w:rFonts w:ascii="Times New Roman" w:hAnsi="Times New Roman"/>
      <w:sz w:val="24"/>
    </w:rPr>
  </w:style>
  <w:style w:type="paragraph" w:styleId="Heading1">
    <w:name w:val="heading 1"/>
    <w:basedOn w:val="Normal"/>
    <w:next w:val="Normal"/>
    <w:link w:val="Heading1Char"/>
    <w:uiPriority w:val="1"/>
    <w:qFormat/>
    <w:rsid w:val="004E51BD"/>
    <w:pPr>
      <w:keepNext/>
      <w:keepLines/>
      <w:numPr>
        <w:numId w:val="1"/>
      </w:numPr>
      <w:spacing w:before="360" w:after="0"/>
      <w:outlineLvl w:val="0"/>
    </w:pPr>
    <w:rPr>
      <w:rFonts w:eastAsiaTheme="majorEastAsia" w:cstheme="majorBidi"/>
      <w:b/>
      <w:caps/>
      <w:szCs w:val="32"/>
    </w:rPr>
  </w:style>
  <w:style w:type="paragraph" w:styleId="Heading2">
    <w:name w:val="heading 2"/>
    <w:basedOn w:val="Normal"/>
    <w:next w:val="Heading1"/>
    <w:link w:val="Heading2Char"/>
    <w:uiPriority w:val="2"/>
    <w:qFormat/>
    <w:rsid w:val="00275E8D"/>
    <w:pPr>
      <w:keepNext/>
      <w:keepLines/>
      <w:numPr>
        <w:ilvl w:val="1"/>
        <w:numId w:val="1"/>
      </w:numPr>
      <w:spacing w:before="240" w:after="0"/>
      <w:ind w:left="792"/>
      <w:outlineLvl w:val="1"/>
    </w:pPr>
    <w:rPr>
      <w:rFonts w:eastAsiaTheme="majorEastAsia" w:cstheme="majorBidi"/>
      <w:b/>
      <w:szCs w:val="26"/>
    </w:rPr>
  </w:style>
  <w:style w:type="paragraph" w:styleId="Heading3">
    <w:name w:val="heading 3"/>
    <w:next w:val="Heading2"/>
    <w:link w:val="Heading3Char"/>
    <w:uiPriority w:val="3"/>
    <w:qFormat/>
    <w:rsid w:val="00116371"/>
    <w:pPr>
      <w:keepNext/>
      <w:keepLines/>
      <w:numPr>
        <w:ilvl w:val="2"/>
        <w:numId w:val="1"/>
      </w:numPr>
      <w:spacing w:before="40" w:after="0"/>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semiHidden/>
    <w:unhideWhenUsed/>
    <w:qFormat/>
    <w:rsid w:val="00410388"/>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DDA"/>
    <w:pPr>
      <w:tabs>
        <w:tab w:val="center" w:pos="4513"/>
        <w:tab w:val="right" w:pos="9026"/>
      </w:tabs>
      <w:spacing w:after="0" w:line="240" w:lineRule="auto"/>
    </w:pPr>
    <w:rPr>
      <w:lang w:val="en-SG"/>
    </w:rPr>
  </w:style>
  <w:style w:type="character" w:customStyle="1" w:styleId="FooterChar">
    <w:name w:val="Footer Char"/>
    <w:basedOn w:val="DefaultParagraphFont"/>
    <w:link w:val="Footer"/>
    <w:uiPriority w:val="99"/>
    <w:rsid w:val="00046DDA"/>
    <w:rPr>
      <w:lang w:val="en-SG"/>
    </w:rPr>
  </w:style>
  <w:style w:type="paragraph" w:styleId="Header">
    <w:name w:val="header"/>
    <w:basedOn w:val="Normal"/>
    <w:link w:val="HeaderChar"/>
    <w:uiPriority w:val="99"/>
    <w:unhideWhenUsed/>
    <w:rsid w:val="00046DDA"/>
    <w:pPr>
      <w:tabs>
        <w:tab w:val="center" w:pos="4513"/>
        <w:tab w:val="right" w:pos="9026"/>
      </w:tabs>
      <w:spacing w:after="0" w:line="240" w:lineRule="auto"/>
    </w:pPr>
    <w:rPr>
      <w:lang w:val="en-SG"/>
    </w:rPr>
  </w:style>
  <w:style w:type="character" w:customStyle="1" w:styleId="HeaderChar">
    <w:name w:val="Header Char"/>
    <w:basedOn w:val="DefaultParagraphFont"/>
    <w:link w:val="Header"/>
    <w:uiPriority w:val="99"/>
    <w:rsid w:val="00046DDA"/>
    <w:rPr>
      <w:lang w:val="en-SG"/>
    </w:rPr>
  </w:style>
  <w:style w:type="paragraph" w:styleId="ListParagraph">
    <w:name w:val="List Paragraph"/>
    <w:basedOn w:val="Normal"/>
    <w:link w:val="ListParagraphChar"/>
    <w:uiPriority w:val="34"/>
    <w:qFormat/>
    <w:rsid w:val="007908FB"/>
    <w:pPr>
      <w:ind w:left="720"/>
      <w:contextualSpacing/>
    </w:pPr>
  </w:style>
  <w:style w:type="character" w:customStyle="1" w:styleId="Heading2Char">
    <w:name w:val="Heading 2 Char"/>
    <w:basedOn w:val="DefaultParagraphFont"/>
    <w:link w:val="Heading2"/>
    <w:uiPriority w:val="2"/>
    <w:rsid w:val="00275E8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3"/>
    <w:rsid w:val="00116371"/>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semiHidden/>
    <w:rsid w:val="00410388"/>
    <w:rPr>
      <w:rFonts w:ascii="Times New Roman" w:eastAsiaTheme="majorEastAsia" w:hAnsi="Times New Roman" w:cstheme="majorBidi"/>
      <w:b/>
      <w:iCs/>
      <w:sz w:val="26"/>
    </w:rPr>
  </w:style>
  <w:style w:type="character" w:customStyle="1" w:styleId="Heading1Char">
    <w:name w:val="Heading 1 Char"/>
    <w:basedOn w:val="DefaultParagraphFont"/>
    <w:link w:val="Heading1"/>
    <w:uiPriority w:val="1"/>
    <w:rsid w:val="004E51BD"/>
    <w:rPr>
      <w:rFonts w:ascii="Times New Roman" w:eastAsiaTheme="majorEastAsia" w:hAnsi="Times New Roman" w:cstheme="majorBidi"/>
      <w:b/>
      <w:caps/>
      <w:sz w:val="24"/>
      <w:szCs w:val="32"/>
    </w:rPr>
  </w:style>
  <w:style w:type="paragraph" w:styleId="Title">
    <w:name w:val="Title"/>
    <w:basedOn w:val="Normal"/>
    <w:next w:val="Normal"/>
    <w:link w:val="TitleChar"/>
    <w:uiPriority w:val="10"/>
    <w:qFormat/>
    <w:rsid w:val="00410388"/>
    <w:pPr>
      <w:spacing w:after="120" w:line="360" w:lineRule="auto"/>
      <w:contextualSpacing/>
    </w:pPr>
    <w:rPr>
      <w:rFonts w:eastAsiaTheme="majorEastAsia" w:cstheme="majorBidi"/>
      <w:b/>
      <w:caps/>
      <w:spacing w:val="-10"/>
      <w:kern w:val="28"/>
      <w:sz w:val="28"/>
      <w:szCs w:val="56"/>
    </w:rPr>
  </w:style>
  <w:style w:type="character" w:customStyle="1" w:styleId="TitleChar">
    <w:name w:val="Title Char"/>
    <w:basedOn w:val="DefaultParagraphFont"/>
    <w:link w:val="Title"/>
    <w:uiPriority w:val="10"/>
    <w:rsid w:val="00410388"/>
    <w:rPr>
      <w:rFonts w:ascii="Times New Roman" w:eastAsiaTheme="majorEastAsia" w:hAnsi="Times New Roman" w:cstheme="majorBidi"/>
      <w:b/>
      <w:caps/>
      <w:spacing w:val="-10"/>
      <w:kern w:val="28"/>
      <w:sz w:val="28"/>
      <w:szCs w:val="56"/>
    </w:rPr>
  </w:style>
  <w:style w:type="paragraph" w:styleId="NoSpacing">
    <w:name w:val="No Spacing"/>
    <w:link w:val="NoSpacingChar"/>
    <w:uiPriority w:val="5"/>
    <w:qFormat/>
    <w:rsid w:val="00410388"/>
    <w:pPr>
      <w:spacing w:after="0" w:line="240" w:lineRule="auto"/>
    </w:pPr>
    <w:rPr>
      <w:rFonts w:ascii="Times New Roman" w:hAnsi="Times New Roman"/>
      <w:sz w:val="26"/>
    </w:rPr>
  </w:style>
  <w:style w:type="character" w:customStyle="1" w:styleId="NoSpacingChar">
    <w:name w:val="No Spacing Char"/>
    <w:basedOn w:val="DefaultParagraphFont"/>
    <w:link w:val="NoSpacing"/>
    <w:uiPriority w:val="5"/>
    <w:rsid w:val="00410388"/>
    <w:rPr>
      <w:rFonts w:ascii="Times New Roman" w:hAnsi="Times New Roman"/>
      <w:sz w:val="26"/>
    </w:rPr>
  </w:style>
  <w:style w:type="table" w:styleId="TableGrid">
    <w:name w:val="Table Grid"/>
    <w:basedOn w:val="TableNormal"/>
    <w:uiPriority w:val="59"/>
    <w:rsid w:val="00526822"/>
    <w:pPr>
      <w:spacing w:after="0" w:line="240" w:lineRule="auto"/>
      <w:jc w:val="both"/>
    </w:pPr>
    <w:rPr>
      <w:rFonts w:ascii="Tahoma" w:eastAsia="Calibri" w:hAnsi="Tahoma" w:cs="Times New Roman"/>
      <w:sz w:val="20"/>
      <w:szCs w:val="20"/>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inhnghia">
    <w:name w:val="Dinh nghia"/>
    <w:basedOn w:val="Normal"/>
    <w:uiPriority w:val="3"/>
    <w:qFormat/>
    <w:rsid w:val="004E51BD"/>
    <w:pPr>
      <w:numPr>
        <w:ilvl w:val="1"/>
        <w:numId w:val="2"/>
      </w:numPr>
      <w:spacing w:after="200" w:line="276" w:lineRule="auto"/>
      <w:jc w:val="both"/>
    </w:pPr>
    <w:rPr>
      <w:rFonts w:eastAsia="Times New Roman" w:cs="Times New Roman"/>
      <w:szCs w:val="26"/>
    </w:rPr>
  </w:style>
  <w:style w:type="character" w:styleId="CommentReference">
    <w:name w:val="annotation reference"/>
    <w:basedOn w:val="DefaultParagraphFont"/>
    <w:uiPriority w:val="99"/>
    <w:semiHidden/>
    <w:unhideWhenUsed/>
    <w:rsid w:val="00953F5B"/>
    <w:rPr>
      <w:sz w:val="16"/>
      <w:szCs w:val="16"/>
    </w:rPr>
  </w:style>
  <w:style w:type="paragraph" w:styleId="CommentText">
    <w:name w:val="annotation text"/>
    <w:basedOn w:val="Normal"/>
    <w:link w:val="CommentTextChar"/>
    <w:uiPriority w:val="99"/>
    <w:unhideWhenUsed/>
    <w:rsid w:val="00953F5B"/>
    <w:pPr>
      <w:spacing w:line="240" w:lineRule="auto"/>
    </w:pPr>
    <w:rPr>
      <w:sz w:val="20"/>
      <w:szCs w:val="20"/>
    </w:rPr>
  </w:style>
  <w:style w:type="character" w:customStyle="1" w:styleId="CommentTextChar">
    <w:name w:val="Comment Text Char"/>
    <w:basedOn w:val="DefaultParagraphFont"/>
    <w:link w:val="CommentText"/>
    <w:uiPriority w:val="99"/>
    <w:rsid w:val="00953F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3F5B"/>
    <w:rPr>
      <w:b/>
      <w:bCs/>
    </w:rPr>
  </w:style>
  <w:style w:type="character" w:customStyle="1" w:styleId="CommentSubjectChar">
    <w:name w:val="Comment Subject Char"/>
    <w:basedOn w:val="CommentTextChar"/>
    <w:link w:val="CommentSubject"/>
    <w:uiPriority w:val="99"/>
    <w:semiHidden/>
    <w:rsid w:val="00953F5B"/>
    <w:rPr>
      <w:rFonts w:ascii="Times New Roman" w:hAnsi="Times New Roman"/>
      <w:b/>
      <w:bCs/>
      <w:sz w:val="20"/>
      <w:szCs w:val="20"/>
    </w:rPr>
  </w:style>
  <w:style w:type="paragraph" w:styleId="BalloonText">
    <w:name w:val="Balloon Text"/>
    <w:basedOn w:val="Normal"/>
    <w:link w:val="BalloonTextChar"/>
    <w:uiPriority w:val="99"/>
    <w:semiHidden/>
    <w:unhideWhenUsed/>
    <w:rsid w:val="00953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F5B"/>
    <w:rPr>
      <w:rFonts w:ascii="Segoe UI" w:hAnsi="Segoe UI" w:cs="Segoe UI"/>
      <w:sz w:val="18"/>
      <w:szCs w:val="18"/>
    </w:rPr>
  </w:style>
  <w:style w:type="character" w:customStyle="1" w:styleId="ListParagraphChar">
    <w:name w:val="List Paragraph Char"/>
    <w:basedOn w:val="DefaultParagraphFont"/>
    <w:link w:val="ListParagraph"/>
    <w:uiPriority w:val="34"/>
    <w:rsid w:val="00643607"/>
    <w:rPr>
      <w:rFonts w:ascii="Times New Roman" w:hAnsi="Times New Roman"/>
      <w:sz w:val="26"/>
    </w:rPr>
  </w:style>
  <w:style w:type="paragraph" w:styleId="NormalIndent">
    <w:name w:val="Normal Indent"/>
    <w:basedOn w:val="Normal"/>
    <w:rsid w:val="001B4BF9"/>
    <w:pPr>
      <w:widowControl w:val="0"/>
      <w:autoSpaceDE w:val="0"/>
      <w:autoSpaceDN w:val="0"/>
      <w:adjustRightInd w:val="0"/>
      <w:spacing w:before="0" w:after="0" w:line="240" w:lineRule="auto"/>
      <w:ind w:left="480"/>
    </w:pPr>
    <w:rPr>
      <w:rFonts w:ascii="CG Times" w:eastAsia="SimSun" w:hAnsi="CG Times" w:cs="Times New Roman"/>
      <w:sz w:val="20"/>
      <w:szCs w:val="20"/>
      <w:lang w:eastAsia="zh-CN"/>
    </w:rPr>
  </w:style>
  <w:style w:type="paragraph" w:styleId="NormalWeb">
    <w:name w:val="Normal (Web)"/>
    <w:basedOn w:val="Normal"/>
    <w:uiPriority w:val="99"/>
    <w:unhideWhenUsed/>
    <w:rsid w:val="00F331B3"/>
    <w:pPr>
      <w:spacing w:before="100" w:beforeAutospacing="1" w:after="100" w:afterAutospacing="1" w:line="240" w:lineRule="auto"/>
    </w:pPr>
    <w:rPr>
      <w:rFonts w:eastAsiaTheme="minorEastAsia" w:cs="Times New Roman"/>
      <w:szCs w:val="24"/>
    </w:rPr>
  </w:style>
  <w:style w:type="paragraph" w:styleId="TOCHeading">
    <w:name w:val="TOC Heading"/>
    <w:basedOn w:val="Heading1"/>
    <w:next w:val="Normal"/>
    <w:uiPriority w:val="39"/>
    <w:unhideWhenUsed/>
    <w:qFormat/>
    <w:rsid w:val="00E92DBE"/>
    <w:pPr>
      <w:numPr>
        <w:numId w:val="0"/>
      </w:numPr>
      <w:spacing w:before="240"/>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B23499"/>
    <w:pPr>
      <w:tabs>
        <w:tab w:val="left" w:pos="1100"/>
        <w:tab w:val="right" w:leader="dot" w:pos="9350"/>
      </w:tabs>
      <w:spacing w:after="100"/>
    </w:pPr>
  </w:style>
  <w:style w:type="paragraph" w:styleId="TOC2">
    <w:name w:val="toc 2"/>
    <w:basedOn w:val="Normal"/>
    <w:next w:val="Normal"/>
    <w:autoRedefine/>
    <w:uiPriority w:val="39"/>
    <w:unhideWhenUsed/>
    <w:rsid w:val="00E92DBE"/>
    <w:pPr>
      <w:spacing w:after="100"/>
      <w:ind w:left="260"/>
    </w:pPr>
  </w:style>
  <w:style w:type="paragraph" w:styleId="TOC3">
    <w:name w:val="toc 3"/>
    <w:basedOn w:val="Normal"/>
    <w:next w:val="Normal"/>
    <w:autoRedefine/>
    <w:uiPriority w:val="39"/>
    <w:unhideWhenUsed/>
    <w:rsid w:val="00E92DBE"/>
    <w:pPr>
      <w:spacing w:after="100"/>
      <w:ind w:left="520"/>
    </w:pPr>
  </w:style>
  <w:style w:type="character" w:styleId="Hyperlink">
    <w:name w:val="Hyperlink"/>
    <w:basedOn w:val="DefaultParagraphFont"/>
    <w:uiPriority w:val="99"/>
    <w:unhideWhenUsed/>
    <w:rsid w:val="00E92DBE"/>
    <w:rPr>
      <w:color w:val="0563C1" w:themeColor="hyperlink"/>
      <w:u w:val="single"/>
    </w:rPr>
  </w:style>
  <w:style w:type="paragraph" w:styleId="Revision">
    <w:name w:val="Revision"/>
    <w:hidden/>
    <w:uiPriority w:val="99"/>
    <w:semiHidden/>
    <w:rsid w:val="00FD1D69"/>
    <w:pPr>
      <w:spacing w:after="0" w:line="240" w:lineRule="auto"/>
    </w:pPr>
    <w:rPr>
      <w:rFonts w:ascii="Times New Roman" w:hAnsi="Times New Roman"/>
      <w:sz w:val="26"/>
    </w:rPr>
  </w:style>
  <w:style w:type="character" w:styleId="PlaceholderText">
    <w:name w:val="Placeholder Text"/>
    <w:basedOn w:val="DefaultParagraphFont"/>
    <w:uiPriority w:val="99"/>
    <w:semiHidden/>
    <w:rsid w:val="00C53D14"/>
    <w:rPr>
      <w:color w:val="808080"/>
    </w:rPr>
  </w:style>
</w:styles>
</file>

<file path=word/webSettings.xml><?xml version="1.0" encoding="utf-8"?>
<w:webSettings xmlns:r="http://schemas.openxmlformats.org/officeDocument/2006/relationships" xmlns:w="http://schemas.openxmlformats.org/wordprocessingml/2006/main">
  <w:divs>
    <w:div w:id="43214553">
      <w:bodyDiv w:val="1"/>
      <w:marLeft w:val="0"/>
      <w:marRight w:val="0"/>
      <w:marTop w:val="0"/>
      <w:marBottom w:val="0"/>
      <w:divBdr>
        <w:top w:val="none" w:sz="0" w:space="0" w:color="auto"/>
        <w:left w:val="none" w:sz="0" w:space="0" w:color="auto"/>
        <w:bottom w:val="none" w:sz="0" w:space="0" w:color="auto"/>
        <w:right w:val="none" w:sz="0" w:space="0" w:color="auto"/>
      </w:divBdr>
    </w:div>
    <w:div w:id="67192092">
      <w:bodyDiv w:val="1"/>
      <w:marLeft w:val="0"/>
      <w:marRight w:val="0"/>
      <w:marTop w:val="0"/>
      <w:marBottom w:val="0"/>
      <w:divBdr>
        <w:top w:val="none" w:sz="0" w:space="0" w:color="auto"/>
        <w:left w:val="none" w:sz="0" w:space="0" w:color="auto"/>
        <w:bottom w:val="none" w:sz="0" w:space="0" w:color="auto"/>
        <w:right w:val="none" w:sz="0" w:space="0" w:color="auto"/>
      </w:divBdr>
    </w:div>
    <w:div w:id="138964589">
      <w:bodyDiv w:val="1"/>
      <w:marLeft w:val="0"/>
      <w:marRight w:val="0"/>
      <w:marTop w:val="0"/>
      <w:marBottom w:val="0"/>
      <w:divBdr>
        <w:top w:val="none" w:sz="0" w:space="0" w:color="auto"/>
        <w:left w:val="none" w:sz="0" w:space="0" w:color="auto"/>
        <w:bottom w:val="none" w:sz="0" w:space="0" w:color="auto"/>
        <w:right w:val="none" w:sz="0" w:space="0" w:color="auto"/>
      </w:divBdr>
    </w:div>
    <w:div w:id="148980749">
      <w:bodyDiv w:val="1"/>
      <w:marLeft w:val="0"/>
      <w:marRight w:val="0"/>
      <w:marTop w:val="0"/>
      <w:marBottom w:val="0"/>
      <w:divBdr>
        <w:top w:val="none" w:sz="0" w:space="0" w:color="auto"/>
        <w:left w:val="none" w:sz="0" w:space="0" w:color="auto"/>
        <w:bottom w:val="none" w:sz="0" w:space="0" w:color="auto"/>
        <w:right w:val="none" w:sz="0" w:space="0" w:color="auto"/>
      </w:divBdr>
    </w:div>
    <w:div w:id="547687133">
      <w:bodyDiv w:val="1"/>
      <w:marLeft w:val="0"/>
      <w:marRight w:val="0"/>
      <w:marTop w:val="0"/>
      <w:marBottom w:val="0"/>
      <w:divBdr>
        <w:top w:val="none" w:sz="0" w:space="0" w:color="auto"/>
        <w:left w:val="none" w:sz="0" w:space="0" w:color="auto"/>
        <w:bottom w:val="none" w:sz="0" w:space="0" w:color="auto"/>
        <w:right w:val="none" w:sz="0" w:space="0" w:color="auto"/>
      </w:divBdr>
    </w:div>
    <w:div w:id="768041088">
      <w:bodyDiv w:val="1"/>
      <w:marLeft w:val="0"/>
      <w:marRight w:val="0"/>
      <w:marTop w:val="0"/>
      <w:marBottom w:val="0"/>
      <w:divBdr>
        <w:top w:val="none" w:sz="0" w:space="0" w:color="auto"/>
        <w:left w:val="none" w:sz="0" w:space="0" w:color="auto"/>
        <w:bottom w:val="none" w:sz="0" w:space="0" w:color="auto"/>
        <w:right w:val="none" w:sz="0" w:space="0" w:color="auto"/>
      </w:divBdr>
    </w:div>
    <w:div w:id="870873150">
      <w:bodyDiv w:val="1"/>
      <w:marLeft w:val="0"/>
      <w:marRight w:val="0"/>
      <w:marTop w:val="0"/>
      <w:marBottom w:val="0"/>
      <w:divBdr>
        <w:top w:val="none" w:sz="0" w:space="0" w:color="auto"/>
        <w:left w:val="none" w:sz="0" w:space="0" w:color="auto"/>
        <w:bottom w:val="none" w:sz="0" w:space="0" w:color="auto"/>
        <w:right w:val="none" w:sz="0" w:space="0" w:color="auto"/>
      </w:divBdr>
    </w:div>
    <w:div w:id="1322975327">
      <w:bodyDiv w:val="1"/>
      <w:marLeft w:val="0"/>
      <w:marRight w:val="0"/>
      <w:marTop w:val="0"/>
      <w:marBottom w:val="0"/>
      <w:divBdr>
        <w:top w:val="none" w:sz="0" w:space="0" w:color="auto"/>
        <w:left w:val="none" w:sz="0" w:space="0" w:color="auto"/>
        <w:bottom w:val="none" w:sz="0" w:space="0" w:color="auto"/>
        <w:right w:val="none" w:sz="0" w:space="0" w:color="auto"/>
      </w:divBdr>
    </w:div>
    <w:div w:id="192625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13233-48E0-4C51-BADC-8CE87F233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6180</Words>
  <Characters>35232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QUY TẮC VÀ ĐIỀU KHOẢN SẢN PHẨM BẢO HIỂM HỖN HỢP – CHI TRẢ TIỀN MẶT ĐỊNH KỲ</vt:lpstr>
    </vt:vector>
  </TitlesOfParts>
  <Company/>
  <LinksUpToDate>false</LinksUpToDate>
  <CharactersWithSpaces>41330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VÀ ĐIỀU KHOẢN SẢN PHẨM BẢO HIỂM HỖN HỢP – CHI TRẢ TIỀN MẶT ĐỊNH KỲ</dc:title>
  <dc:subject/>
  <dc:creator>Ngoc, Nguyen Thi Bao</dc:creator>
  <cp:keywords/>
  <dc:description/>
  <cp:lastModifiedBy>nguyenthihue2</cp:lastModifiedBy>
  <cp:revision>6</cp:revision>
  <cp:lastPrinted>2018-08-10T01:59:00Z</cp:lastPrinted>
  <dcterms:created xsi:type="dcterms:W3CDTF">2018-05-30T10:10:00Z</dcterms:created>
  <dcterms:modified xsi:type="dcterms:W3CDTF">2018-08-10T02:00:00Z</dcterms:modified>
</cp:coreProperties>
</file>