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4" w:tblpY="-247"/>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83"/>
        <w:gridCol w:w="4539"/>
      </w:tblGrid>
      <w:tr w:rsidR="000864E5" w:rsidTr="0092414E">
        <w:trPr>
          <w:trHeight w:val="983"/>
        </w:trPr>
        <w:tc>
          <w:tcPr>
            <w:tcW w:w="10884" w:type="dxa"/>
            <w:gridSpan w:val="3"/>
            <w:tcBorders>
              <w:bottom w:val="nil"/>
            </w:tcBorders>
            <w:shd w:val="clear" w:color="auto" w:fill="DBE5F1" w:themeFill="accent1" w:themeFillTint="33"/>
          </w:tcPr>
          <w:p w:rsidR="000864E5" w:rsidRPr="00A11CE4" w:rsidRDefault="0021562D" w:rsidP="007F25E3">
            <w:pPr>
              <w:spacing w:before="120"/>
            </w:pPr>
            <w:r>
              <w:rPr>
                <w:noProof/>
              </w:rPr>
              <w:pict>
                <v:shapetype id="_x0000_t202" coordsize="21600,21600" o:spt="202" path="m,l,21600r21600,l21600,xe">
                  <v:stroke joinstyle="miter"/>
                  <v:path gradientshapeok="t" o:connecttype="rect"/>
                </v:shapetype>
                <v:shape id="Text Box 2" o:spid="_x0000_s1026" type="#_x0000_t202" style="position:absolute;margin-left:61.85pt;margin-top:6.9pt;width:244.5pt;height:38.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ATDgIAAPUDAAAOAAAAZHJzL2Uyb0RvYy54bWysU21v2yAQ/j5p/wHxfbGdxG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" filled="f" stroked="f">
                  <v:textbox>
                    <w:txbxContent>
                      <w:p w:rsidR="008F5B3A" w:rsidRDefault="000864E5" w:rsidP="008F5B3A">
                        <w:pPr>
                          <w:spacing w:after="0"/>
                          <w:jc w:val="center"/>
                          <w:rPr>
                            <w:rFonts w:ascii="Times New Roman" w:hAnsi="Times New Roman" w:cs="Times New Roman"/>
                            <w:b/>
                            <w:sz w:val="24"/>
                            <w:szCs w:val="24"/>
                          </w:rPr>
                        </w:pPr>
                        <w:r w:rsidRPr="00A050B2">
                          <w:rPr>
                            <w:rFonts w:ascii="Times New Roman" w:hAnsi="Times New Roman" w:cs="Times New Roman"/>
                            <w:b/>
                            <w:sz w:val="24"/>
                            <w:szCs w:val="24"/>
                          </w:rPr>
                          <w:t>Cục Quản lý, Giám sát Bảo hiểm</w:t>
                        </w:r>
                      </w:p>
                      <w:p w:rsidR="000864E5" w:rsidRPr="00A050B2" w:rsidRDefault="000864E5" w:rsidP="008F5B3A">
                        <w:pPr>
                          <w:spacing w:after="0"/>
                          <w:jc w:val="center"/>
                          <w:rPr>
                            <w:sz w:val="24"/>
                            <w:szCs w:val="24"/>
                          </w:rPr>
                        </w:pPr>
                        <w:r w:rsidRPr="00A050B2">
                          <w:rPr>
                            <w:rFonts w:ascii="Times New Roman" w:hAnsi="Times New Roman" w:cs="Times New Roman"/>
                            <w:b/>
                            <w:sz w:val="24"/>
                            <w:szCs w:val="24"/>
                          </w:rPr>
                          <w:t>Trung tâm Nghiên c</w:t>
                        </w:r>
                        <w:r w:rsidRPr="00A050B2">
                          <w:rPr>
                            <w:rFonts w:ascii="Times New Roman" w:hAnsi="Times New Roman" w:cs="Times New Roman"/>
                            <w:b/>
                            <w:sz w:val="24"/>
                            <w:szCs w:val="24"/>
                            <w:lang w:val="vi-VN"/>
                          </w:rPr>
                          <w:t xml:space="preserve">ứu và Đào tạo </w:t>
                        </w:r>
                        <w:r w:rsidRPr="00A050B2">
                          <w:rPr>
                            <w:rFonts w:ascii="Times New Roman" w:hAnsi="Times New Roman" w:cs="Times New Roman"/>
                            <w:b/>
                            <w:sz w:val="24"/>
                            <w:szCs w:val="24"/>
                          </w:rPr>
                          <w:t>Bảo hiểm</w:t>
                        </w:r>
                      </w:p>
                    </w:txbxContent>
                  </v:textbox>
                </v:shape>
              </w:pict>
            </w:r>
            <w:r w:rsidR="000864E5">
              <w:br w:type="page"/>
            </w:r>
            <w:r w:rsidR="000864E5">
              <w:rPr>
                <w:noProof/>
              </w:rPr>
              <w:drawing>
                <wp:inline distT="0" distB="0" distL="0" distR="0">
                  <wp:extent cx="773373" cy="466725"/>
                  <wp:effectExtent l="0" t="0" r="8255" b="0"/>
                  <wp:docPr id="1"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8" r:link="rId9"/>
                          <a:srcRect/>
                          <a:stretch>
                            <a:fillRect/>
                          </a:stretch>
                        </pic:blipFill>
                        <pic:spPr bwMode="auto">
                          <a:xfrm>
                            <a:off x="0" y="0"/>
                            <a:ext cx="781437" cy="471591"/>
                          </a:xfrm>
                          <a:prstGeom prst="rect">
                            <a:avLst/>
                          </a:prstGeom>
                          <a:noFill/>
                          <a:ln w="9525">
                            <a:noFill/>
                            <a:miter lim="800000"/>
                            <a:headEnd/>
                            <a:tailEnd/>
                          </a:ln>
                        </pic:spPr>
                      </pic:pic>
                    </a:graphicData>
                  </a:graphic>
                </wp:inline>
              </w:drawing>
            </w:r>
          </w:p>
        </w:tc>
      </w:tr>
      <w:tr w:rsidR="004A26E6" w:rsidTr="0092414E">
        <w:trPr>
          <w:trHeight w:val="707"/>
        </w:trPr>
        <w:tc>
          <w:tcPr>
            <w:tcW w:w="10884" w:type="dxa"/>
            <w:gridSpan w:val="3"/>
            <w:tcBorders>
              <w:top w:val="nil"/>
              <w:bottom w:val="single" w:sz="4" w:space="0" w:color="auto"/>
            </w:tcBorders>
            <w:shd w:val="clear" w:color="auto" w:fill="DBE5F1" w:themeFill="accent1" w:themeFillTint="33"/>
          </w:tcPr>
          <w:p w:rsidR="004A26E6" w:rsidRPr="000D17D8" w:rsidRDefault="000864E5" w:rsidP="008F5B3A">
            <w:pPr>
              <w:spacing w:before="120" w:after="120" w:line="276" w:lineRule="auto"/>
              <w:jc w:val="center"/>
              <w:rPr>
                <w:sz w:val="28"/>
                <w:szCs w:val="28"/>
              </w:rPr>
            </w:pPr>
            <w:r w:rsidRPr="000D17D8">
              <w:rPr>
                <w:rFonts w:ascii="Times New Roman" w:eastAsia="Times New Roman" w:hAnsi="Times New Roman" w:cs="Times New Roman"/>
                <w:b/>
                <w:sz w:val="28"/>
                <w:szCs w:val="28"/>
              </w:rPr>
              <w:t xml:space="preserve">KHÓA ĐÀO TẠO LUYỆN THI CHỨNG CHỈ TÍNH TOÁN CỦA HỘI CÁC NHÀ </w:t>
            </w:r>
            <w:r w:rsidR="000D17D8">
              <w:rPr>
                <w:rFonts w:ascii="Times New Roman" w:eastAsia="Times New Roman" w:hAnsi="Times New Roman" w:cs="Times New Roman"/>
                <w:b/>
                <w:sz w:val="28"/>
                <w:szCs w:val="28"/>
              </w:rPr>
              <w:br/>
            </w:r>
            <w:r w:rsidRPr="000D17D8">
              <w:rPr>
                <w:rFonts w:ascii="Times New Roman" w:eastAsia="Times New Roman" w:hAnsi="Times New Roman" w:cs="Times New Roman"/>
                <w:b/>
                <w:sz w:val="28"/>
                <w:szCs w:val="28"/>
              </w:rPr>
              <w:t xml:space="preserve">TÍNH TOÁN BẢO HIỂM HOA KỲ </w:t>
            </w:r>
            <w:r w:rsidRPr="000D17D8">
              <w:rPr>
                <w:rFonts w:ascii="Times New Roman" w:hAnsi="Times New Roman" w:cs="Times New Roman"/>
                <w:b/>
                <w:sz w:val="28"/>
                <w:szCs w:val="28"/>
              </w:rPr>
              <w:t>(SOCIETY OF ACTUARIES - SOA)</w:t>
            </w:r>
          </w:p>
        </w:tc>
      </w:tr>
      <w:tr w:rsidR="000D17D8" w:rsidRPr="00A11CE4" w:rsidTr="0092414E">
        <w:trPr>
          <w:trHeight w:val="2892"/>
        </w:trPr>
        <w:tc>
          <w:tcPr>
            <w:tcW w:w="6062" w:type="dxa"/>
            <w:tcBorders>
              <w:bottom w:val="nil"/>
              <w:right w:val="nil"/>
            </w:tcBorders>
          </w:tcPr>
          <w:p w:rsidR="00C47017" w:rsidRPr="00173FA7" w:rsidRDefault="00C47017" w:rsidP="007F25E3">
            <w:pPr>
              <w:tabs>
                <w:tab w:val="left" w:pos="709"/>
                <w:tab w:val="left" w:pos="851"/>
              </w:tabs>
              <w:spacing w:before="120"/>
              <w:ind w:left="34"/>
              <w:jc w:val="both"/>
              <w:rPr>
                <w:rFonts w:ascii="Times New Roman" w:eastAsia="Times New Roman" w:hAnsi="Times New Roman" w:cs="Times New Roman"/>
                <w:b/>
              </w:rPr>
            </w:pPr>
            <w:r w:rsidRPr="00173FA7">
              <w:rPr>
                <w:rFonts w:ascii="Times New Roman" w:eastAsia="Times New Roman" w:hAnsi="Times New Roman" w:cs="Times New Roman"/>
                <w:b/>
              </w:rPr>
              <w:t xml:space="preserve">Về Chứng chỉ Actuary của </w:t>
            </w:r>
            <w:r w:rsidR="008F5B3A">
              <w:rPr>
                <w:rFonts w:ascii="Times New Roman" w:eastAsia="Times New Roman" w:hAnsi="Times New Roman" w:cs="Times New Roman"/>
                <w:b/>
              </w:rPr>
              <w:t>Hoa Kỳ</w:t>
            </w:r>
            <w:r w:rsidRPr="00173FA7">
              <w:rPr>
                <w:rFonts w:ascii="Times New Roman" w:eastAsia="Times New Roman" w:hAnsi="Times New Roman" w:cs="Times New Roman"/>
                <w:b/>
              </w:rPr>
              <w:t xml:space="preserve">     </w:t>
            </w:r>
          </w:p>
          <w:p w:rsidR="00C47017" w:rsidRPr="00173FA7" w:rsidRDefault="008F5B3A" w:rsidP="007F25E3">
            <w:pPr>
              <w:tabs>
                <w:tab w:val="left" w:pos="709"/>
                <w:tab w:val="left" w:pos="851"/>
              </w:tabs>
              <w:ind w:left="34" w:firstLine="142"/>
              <w:jc w:val="both"/>
              <w:rPr>
                <w:rFonts w:ascii="Times New Roman" w:eastAsia="Times New Roman" w:hAnsi="Times New Roman" w:cs="Times New Roman"/>
                <w:b/>
              </w:rPr>
            </w:pPr>
            <w:r>
              <w:rPr>
                <w:rFonts w:ascii="Times New Roman" w:eastAsia="Times New Roman" w:hAnsi="Times New Roman" w:cs="Times New Roman"/>
              </w:rPr>
              <w:t>C</w:t>
            </w:r>
            <w:r w:rsidR="00C47017" w:rsidRPr="00173FA7">
              <w:rPr>
                <w:rFonts w:ascii="Times New Roman" w:eastAsia="Times New Roman" w:hAnsi="Times New Roman" w:cs="Times New Roman"/>
              </w:rPr>
              <w:t>hứng chỉ tính toán của Hội các nhà tính toán bảo hiểm Hoa Kỳ (Society of Actuary – SOA) là chứng chỉ nghề nghiệp được công nhận như tiêu chuẩn đánh giá năng lực, tính chuyên nghiệp phổ biến nhất trong tính toán bảo hiểm; được công nhận rộng rãi khắp thế giới bởi nền tảng kiến thức chuyên sâu và tính thực tiễn cao. Để trở thành thành viên của SOA, các thí sinh phải thi đậu đủ 09 kỳ thi, 02 khóa học trực tuyến và 03 môn chuyên đề bao gồm:</w:t>
            </w:r>
          </w:p>
          <w:p w:rsidR="00C47017" w:rsidRPr="00173FA7" w:rsidRDefault="00C47017" w:rsidP="007F25E3">
            <w:pPr>
              <w:numPr>
                <w:ilvl w:val="0"/>
                <w:numId w:val="4"/>
              </w:numPr>
              <w:tabs>
                <w:tab w:val="left" w:pos="319"/>
                <w:tab w:val="left" w:pos="851"/>
              </w:tabs>
              <w:ind w:left="0" w:firstLine="142"/>
              <w:jc w:val="both"/>
              <w:rPr>
                <w:rFonts w:ascii="Times New Roman" w:eastAsia="Times New Roman" w:hAnsi="Times New Roman" w:cs="Times New Roman"/>
              </w:rPr>
            </w:pPr>
            <w:r w:rsidRPr="00173FA7">
              <w:rPr>
                <w:rFonts w:ascii="Times New Roman" w:eastAsia="Times New Roman" w:hAnsi="Times New Roman" w:cs="Times New Roman"/>
              </w:rPr>
              <w:t>09 kỳ thi gồm: Xác suất</w:t>
            </w:r>
            <w:r w:rsidR="00AB4C19">
              <w:rPr>
                <w:rFonts w:ascii="Times New Roman" w:eastAsia="Times New Roman" w:hAnsi="Times New Roman" w:cs="Times New Roman"/>
              </w:rPr>
              <w:t xml:space="preserve"> thống kê</w:t>
            </w:r>
            <w:r w:rsidRPr="00173FA7">
              <w:rPr>
                <w:rFonts w:ascii="Times New Roman" w:eastAsia="Times New Roman" w:hAnsi="Times New Roman" w:cs="Times New Roman"/>
              </w:rPr>
              <w:t>; Toán tài chính; Mô hình kinh tế lượng; Mô hình dự phòng bảo hiểm nhân thọ và thống kê; Xây dựng và đánh giá các mô hình tính phí bảo hiểm; Các kỹ thuật cơ bản trong việc định giá và ước lượng khiếu nại trách nhiệm bồi thường; Quy định và báo cáo tài chính; Ước lượng trách nhiệm hợp đồng, định giá công ty bảo hiểm và ERM;  Định giá nâng cao; Rủi ro tài chính và tỷ lệ hoàn lại.</w:t>
            </w:r>
          </w:p>
          <w:p w:rsidR="00C47017" w:rsidRPr="00173FA7" w:rsidRDefault="00C47017" w:rsidP="007F25E3">
            <w:pPr>
              <w:numPr>
                <w:ilvl w:val="0"/>
                <w:numId w:val="4"/>
              </w:numPr>
              <w:tabs>
                <w:tab w:val="left" w:pos="319"/>
                <w:tab w:val="left" w:pos="851"/>
              </w:tabs>
              <w:ind w:left="0" w:firstLine="142"/>
              <w:jc w:val="both"/>
              <w:rPr>
                <w:rFonts w:ascii="Times New Roman" w:eastAsia="Times New Roman" w:hAnsi="Times New Roman" w:cs="Times New Roman"/>
              </w:rPr>
            </w:pPr>
            <w:r w:rsidRPr="00173FA7">
              <w:rPr>
                <w:rFonts w:ascii="Times New Roman" w:eastAsia="Times New Roman" w:hAnsi="Times New Roman" w:cs="Times New Roman"/>
              </w:rPr>
              <w:t>02 khóa học trực tuyến gồm: Quản trị rủi ro và các nghiệp vụ bảo hiểm; Kế toán bảo hiểm, phân tích bảo hiểm, luật bảo hiểm và quy định về bảo hiểm.</w:t>
            </w:r>
          </w:p>
          <w:p w:rsidR="00C47017" w:rsidRPr="00173FA7" w:rsidRDefault="00C47017" w:rsidP="007F25E3">
            <w:pPr>
              <w:tabs>
                <w:tab w:val="left" w:pos="461"/>
              </w:tabs>
              <w:ind w:firstLine="142"/>
              <w:jc w:val="both"/>
              <w:rPr>
                <w:rFonts w:ascii="Times New Roman" w:hAnsi="Times New Roman" w:cs="Times New Roman"/>
                <w:b/>
              </w:rPr>
            </w:pPr>
            <w:r w:rsidRPr="00173FA7">
              <w:rPr>
                <w:rFonts w:ascii="Times New Roman" w:eastAsia="Times New Roman" w:hAnsi="Times New Roman" w:cs="Times New Roman"/>
              </w:rPr>
              <w:t>- 03 môn học chuyên đề VEE (Validation by Educational Experience) gồm: Phương pháp thống kê ứng dụng; Tài chính doanh nghiệp; Kinh tế học.</w:t>
            </w:r>
          </w:p>
          <w:p w:rsidR="006E6BEE" w:rsidRPr="00173FA7" w:rsidRDefault="00C47017" w:rsidP="008F5B3A">
            <w:pPr>
              <w:pStyle w:val="ListParagraph"/>
              <w:numPr>
                <w:ilvl w:val="0"/>
                <w:numId w:val="1"/>
              </w:numPr>
              <w:spacing w:before="120"/>
              <w:ind w:left="0" w:hanging="357"/>
              <w:jc w:val="both"/>
              <w:rPr>
                <w:rFonts w:ascii="Times New Roman" w:hAnsi="Times New Roman" w:cs="Times New Roman"/>
              </w:rPr>
            </w:pPr>
            <w:r w:rsidRPr="00173FA7">
              <w:rPr>
                <w:rFonts w:ascii="Times New Roman" w:hAnsi="Times New Roman" w:cs="Times New Roman"/>
              </w:rPr>
              <w:t xml:space="preserve">Nhằm </w:t>
            </w:r>
            <w:r w:rsidR="006E6BEE" w:rsidRPr="00173FA7">
              <w:rPr>
                <w:rFonts w:ascii="Times New Roman" w:hAnsi="Times New Roman" w:cs="Times New Roman"/>
              </w:rPr>
              <w:t xml:space="preserve"> hỗ trợ DNBH n</w:t>
            </w:r>
            <w:r w:rsidR="006E6BEE" w:rsidRPr="00173FA7">
              <w:rPr>
                <w:rFonts w:ascii="Times New Roman" w:eastAsia="Times New Roman" w:hAnsi="Times New Roman" w:cs="Times New Roman"/>
              </w:rPr>
              <w:t>âng cao chất lượng củ</w:t>
            </w:r>
            <w:r w:rsidR="00AB4C19">
              <w:rPr>
                <w:rFonts w:ascii="Times New Roman" w:eastAsia="Times New Roman" w:hAnsi="Times New Roman" w:cs="Times New Roman"/>
              </w:rPr>
              <w:t>a chuyên gia tính toán bảo hiểm</w:t>
            </w:r>
            <w:r w:rsidR="006E6BEE" w:rsidRPr="00173FA7">
              <w:rPr>
                <w:rFonts w:ascii="Times New Roman" w:eastAsia="Times New Roman" w:hAnsi="Times New Roman" w:cs="Times New Roman"/>
              </w:rPr>
              <w:t>; đồng thời h</w:t>
            </w:r>
            <w:r w:rsidR="006E6BEE" w:rsidRPr="00173FA7">
              <w:rPr>
                <w:rFonts w:ascii="Times New Roman" w:eastAsia="Times New Roman" w:hAnsi="Times New Roman" w:cs="Times New Roman"/>
                <w:color w:val="000000"/>
              </w:rPr>
              <w:t>ỗ trợ DNBH đáp ứng đủ điều kiện về “Tiêu chuẩn và sử dụng chuyên gia tính toán dự phòng và khả năng thanh toán của doanh nghiệp bảo hiểm</w:t>
            </w:r>
            <w:r w:rsidR="005324F4" w:rsidRPr="00173FA7">
              <w:rPr>
                <w:rFonts w:ascii="Times New Roman" w:eastAsia="Times New Roman" w:hAnsi="Times New Roman" w:cs="Times New Roman"/>
                <w:color w:val="000000"/>
              </w:rPr>
              <w:t>, doanh nghiệp tái bảo hiểm, chi nhánh nước ngoài</w:t>
            </w:r>
            <w:r w:rsidR="006E6BEE" w:rsidRPr="00173FA7">
              <w:rPr>
                <w:rFonts w:ascii="Times New Roman" w:eastAsia="Times New Roman" w:hAnsi="Times New Roman" w:cs="Times New Roman"/>
                <w:color w:val="000000"/>
              </w:rPr>
              <w:t xml:space="preserve">” </w:t>
            </w:r>
            <w:r w:rsidR="006E6BEE" w:rsidRPr="00173FA7">
              <w:rPr>
                <w:rFonts w:ascii="Times New Roman" w:eastAsia="Times New Roman" w:hAnsi="Times New Roman" w:cs="Times New Roman"/>
              </w:rPr>
              <w:t xml:space="preserve">theo </w:t>
            </w:r>
            <w:r w:rsidR="005324F4" w:rsidRPr="00173FA7">
              <w:rPr>
                <w:rFonts w:ascii="Times New Roman" w:eastAsia="Times New Roman" w:hAnsi="Times New Roman" w:cs="Times New Roman"/>
              </w:rPr>
              <w:t>quy định tại Nghị định</w:t>
            </w:r>
            <w:r w:rsidR="006E6BEE" w:rsidRPr="00173FA7">
              <w:rPr>
                <w:rFonts w:ascii="Times New Roman" w:eastAsia="Times New Roman" w:hAnsi="Times New Roman" w:cs="Times New Roman"/>
              </w:rPr>
              <w:t xml:space="preserve"> số </w:t>
            </w:r>
            <w:r w:rsidR="005324F4" w:rsidRPr="00173FA7">
              <w:rPr>
                <w:rFonts w:ascii="Times New Roman" w:eastAsia="Times New Roman" w:hAnsi="Times New Roman" w:cs="Times New Roman"/>
              </w:rPr>
              <w:t>73</w:t>
            </w:r>
            <w:r w:rsidR="006E6BEE" w:rsidRPr="00173FA7">
              <w:rPr>
                <w:rFonts w:ascii="Times New Roman" w:eastAsia="Times New Roman" w:hAnsi="Times New Roman" w:cs="Times New Roman"/>
              </w:rPr>
              <w:t>/201</w:t>
            </w:r>
            <w:r w:rsidR="005324F4" w:rsidRPr="00173FA7">
              <w:rPr>
                <w:rFonts w:ascii="Times New Roman" w:eastAsia="Times New Roman" w:hAnsi="Times New Roman" w:cs="Times New Roman"/>
              </w:rPr>
              <w:t>6</w:t>
            </w:r>
            <w:r w:rsidR="006E6BEE" w:rsidRPr="00173FA7">
              <w:rPr>
                <w:rFonts w:ascii="Times New Roman" w:eastAsia="Times New Roman" w:hAnsi="Times New Roman" w:cs="Times New Roman"/>
              </w:rPr>
              <w:t>/</w:t>
            </w:r>
            <w:r w:rsidR="005324F4" w:rsidRPr="00173FA7">
              <w:rPr>
                <w:rFonts w:ascii="Times New Roman" w:eastAsia="Times New Roman" w:hAnsi="Times New Roman" w:cs="Times New Roman"/>
              </w:rPr>
              <w:t>NĐ-CP</w:t>
            </w:r>
            <w:r w:rsidR="006E6BEE" w:rsidRPr="00173FA7">
              <w:rPr>
                <w:rFonts w:ascii="Times New Roman" w:eastAsia="Times New Roman" w:hAnsi="Times New Roman" w:cs="Times New Roman"/>
              </w:rPr>
              <w:t xml:space="preserve">; Trung tâm </w:t>
            </w:r>
            <w:r w:rsidR="00AB4C19">
              <w:rPr>
                <w:rFonts w:ascii="Times New Roman" w:eastAsia="Times New Roman" w:hAnsi="Times New Roman" w:cs="Times New Roman"/>
              </w:rPr>
              <w:t>Nghiên cứu và Đào tạo</w:t>
            </w:r>
            <w:r w:rsidR="006E6BEE" w:rsidRPr="00173FA7">
              <w:rPr>
                <w:rFonts w:ascii="Times New Roman" w:eastAsia="Times New Roman" w:hAnsi="Times New Roman" w:cs="Times New Roman"/>
              </w:rPr>
              <w:t xml:space="preserve"> </w:t>
            </w:r>
            <w:r w:rsidR="00AB4C19">
              <w:rPr>
                <w:rFonts w:ascii="Times New Roman" w:eastAsia="Times New Roman" w:hAnsi="Times New Roman" w:cs="Times New Roman"/>
              </w:rPr>
              <w:t>b</w:t>
            </w:r>
            <w:r w:rsidR="006E6BEE" w:rsidRPr="00173FA7">
              <w:rPr>
                <w:rFonts w:ascii="Times New Roman" w:eastAsia="Times New Roman" w:hAnsi="Times New Roman" w:cs="Times New Roman"/>
              </w:rPr>
              <w:t xml:space="preserve">ảo hiểm tổ chức khóa đào tạo và luyện thi 2 chứng chỉ Xác suất thống kê (Exam </w:t>
            </w:r>
            <w:r w:rsidR="0046372B" w:rsidRPr="00173FA7">
              <w:rPr>
                <w:rFonts w:ascii="Times New Roman" w:eastAsia="Times New Roman" w:hAnsi="Times New Roman" w:cs="Times New Roman"/>
              </w:rPr>
              <w:t>P</w:t>
            </w:r>
            <w:r w:rsidR="006E6BEE" w:rsidRPr="00173FA7">
              <w:rPr>
                <w:rFonts w:ascii="Times New Roman" w:eastAsia="Times New Roman" w:hAnsi="Times New Roman" w:cs="Times New Roman"/>
              </w:rPr>
              <w:t xml:space="preserve">) và Toán tài chính (Exam </w:t>
            </w:r>
            <w:r w:rsidR="0046372B" w:rsidRPr="00173FA7">
              <w:rPr>
                <w:rFonts w:ascii="Times New Roman" w:eastAsia="Times New Roman" w:hAnsi="Times New Roman" w:cs="Times New Roman"/>
              </w:rPr>
              <w:t>FM</w:t>
            </w:r>
            <w:r w:rsidR="006E6BEE" w:rsidRPr="00173FA7">
              <w:rPr>
                <w:rFonts w:ascii="Times New Roman" w:eastAsia="Times New Roman" w:hAnsi="Times New Roman" w:cs="Times New Roman"/>
              </w:rPr>
              <w:t>).</w:t>
            </w:r>
          </w:p>
          <w:p w:rsidR="000D17D8" w:rsidRPr="00173FA7" w:rsidRDefault="000D17D8" w:rsidP="0071104B">
            <w:pPr>
              <w:spacing w:before="120"/>
              <w:rPr>
                <w:rFonts w:ascii="Times New Roman" w:hAnsi="Times New Roman" w:cs="Times New Roman"/>
              </w:rPr>
            </w:pPr>
            <w:r w:rsidRPr="00173FA7">
              <w:rPr>
                <w:rFonts w:ascii="Times New Roman" w:hAnsi="Times New Roman" w:cs="Times New Roman"/>
                <w:b/>
              </w:rPr>
              <w:t xml:space="preserve">Thời gian, địa điểm: </w:t>
            </w:r>
            <w:r w:rsidRPr="00173FA7">
              <w:rPr>
                <w:rFonts w:ascii="Times New Roman" w:hAnsi="Times New Roman" w:cs="Times New Roman"/>
              </w:rPr>
              <w:t xml:space="preserve">Từ </w:t>
            </w:r>
            <w:r w:rsidR="0071104B">
              <w:rPr>
                <w:rFonts w:ascii="Times New Roman" w:eastAsia="Calibri" w:hAnsi="Times New Roman" w:cs="Times New Roman"/>
              </w:rPr>
              <w:t>22</w:t>
            </w:r>
            <w:bookmarkStart w:id="0" w:name="_GoBack"/>
            <w:bookmarkEnd w:id="0"/>
            <w:r w:rsidR="006E07EE" w:rsidRPr="00173FA7">
              <w:rPr>
                <w:rFonts w:ascii="Times New Roman" w:eastAsia="Calibri" w:hAnsi="Times New Roman" w:cs="Times New Roman"/>
              </w:rPr>
              <w:t>/10/2016</w:t>
            </w:r>
            <w:r w:rsidRPr="00173FA7">
              <w:rPr>
                <w:rFonts w:ascii="Times New Roman" w:eastAsia="Calibri" w:hAnsi="Times New Roman" w:cs="Times New Roman"/>
              </w:rPr>
              <w:t xml:space="preserve"> </w:t>
            </w:r>
            <w:r w:rsidRPr="00173FA7">
              <w:rPr>
                <w:rFonts w:ascii="Times New Roman" w:hAnsi="Times New Roman" w:cs="Times New Roman"/>
              </w:rPr>
              <w:t>tạ</w:t>
            </w:r>
            <w:r w:rsidR="006E07EE" w:rsidRPr="00173FA7">
              <w:rPr>
                <w:rFonts w:ascii="Times New Roman" w:hAnsi="Times New Roman" w:cs="Times New Roman"/>
              </w:rPr>
              <w:t>i T</w:t>
            </w:r>
            <w:r w:rsidR="005324F4" w:rsidRPr="00173FA7">
              <w:rPr>
                <w:rFonts w:ascii="Times New Roman" w:hAnsi="Times New Roman" w:cs="Times New Roman"/>
              </w:rPr>
              <w:t>p.</w:t>
            </w:r>
            <w:r w:rsidR="006E07EE" w:rsidRPr="00173FA7">
              <w:rPr>
                <w:rFonts w:ascii="Times New Roman" w:hAnsi="Times New Roman" w:cs="Times New Roman"/>
              </w:rPr>
              <w:t xml:space="preserve"> Hồ Chí Minh</w:t>
            </w:r>
            <w:r w:rsidRPr="00173FA7">
              <w:rPr>
                <w:rFonts w:ascii="Times New Roman" w:hAnsi="Times New Roman" w:cs="Times New Roman"/>
              </w:rPr>
              <w:t>;</w:t>
            </w:r>
          </w:p>
        </w:tc>
        <w:tc>
          <w:tcPr>
            <w:tcW w:w="283" w:type="dxa"/>
            <w:tcBorders>
              <w:left w:val="nil"/>
              <w:bottom w:val="nil"/>
              <w:right w:val="nil"/>
            </w:tcBorders>
            <w:shd w:val="clear" w:color="auto" w:fill="auto"/>
          </w:tcPr>
          <w:p w:rsidR="000D17D8" w:rsidRPr="00173FA7" w:rsidRDefault="000D17D8" w:rsidP="007F25E3">
            <w:pPr>
              <w:rPr>
                <w:rFonts w:ascii="Times New Roman" w:hAnsi="Times New Roman" w:cs="Times New Roman"/>
              </w:rPr>
            </w:pPr>
          </w:p>
        </w:tc>
        <w:tc>
          <w:tcPr>
            <w:tcW w:w="4539" w:type="dxa"/>
            <w:vMerge w:val="restart"/>
            <w:tcBorders>
              <w:left w:val="nil"/>
            </w:tcBorders>
            <w:shd w:val="clear" w:color="auto" w:fill="auto"/>
          </w:tcPr>
          <w:p w:rsidR="000D17D8" w:rsidRPr="00173FA7" w:rsidRDefault="000D17D8" w:rsidP="007F25E3">
            <w:pPr>
              <w:spacing w:before="120"/>
              <w:rPr>
                <w:rFonts w:ascii="Times New Roman" w:hAnsi="Times New Roman" w:cs="Times New Roman"/>
                <w:b/>
              </w:rPr>
            </w:pPr>
            <w:r w:rsidRPr="00173FA7">
              <w:rPr>
                <w:rFonts w:ascii="Times New Roman" w:hAnsi="Times New Roman" w:cs="Times New Roman"/>
                <w:b/>
              </w:rPr>
              <w:t xml:space="preserve">Giảng viên </w:t>
            </w:r>
            <w:r w:rsidR="005644CE" w:rsidRPr="00173FA7">
              <w:rPr>
                <w:rFonts w:ascii="Times New Roman" w:hAnsi="Times New Roman" w:cs="Times New Roman"/>
                <w:b/>
              </w:rPr>
              <w:t>đứng lớp</w:t>
            </w:r>
            <w:r w:rsidR="009B0418" w:rsidRPr="00173FA7">
              <w:rPr>
                <w:rFonts w:ascii="Times New Roman" w:hAnsi="Times New Roman" w:cs="Times New Roman"/>
                <w:b/>
              </w:rPr>
              <w:t>:</w:t>
            </w:r>
          </w:p>
          <w:p w:rsidR="00C6777F" w:rsidRPr="00173FA7" w:rsidRDefault="0021562D" w:rsidP="00173FA7">
            <w:pPr>
              <w:spacing w:before="120"/>
              <w:jc w:val="both"/>
              <w:rPr>
                <w:rFonts w:ascii="Times New Roman" w:hAnsi="Times New Roman" w:cs="Times New Roman"/>
              </w:rPr>
            </w:pPr>
            <w:r>
              <w:rPr>
                <w:rFonts w:ascii="Times New Roman" w:hAnsi="Times New Roman" w:cs="Times New Roman"/>
                <w:b/>
                <w:i/>
                <w:noProof/>
              </w:rPr>
              <w:pict>
                <v:shape id="_x0000_s1027" type="#_x0000_t202" style="position:absolute;left:0;text-align:left;margin-left:-3.85pt;margin-top:11.25pt;width:90.75pt;height:107.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" filled="f" stroked="f">
                  <v:textbox style="mso-next-textbox:#_x0000_s1027">
                    <w:txbxContent>
                      <w:p w:rsidR="00447C4B" w:rsidRDefault="00716B2D">
                        <w:r>
                          <w:rPr>
                            <w:noProof/>
                          </w:rPr>
                          <w:drawing>
                            <wp:inline distT="0" distB="0" distL="0" distR="0" wp14:anchorId="6F12706F" wp14:editId="3170572C">
                              <wp:extent cx="957532" cy="12076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580" cy="1211542"/>
                                      </a:xfrm>
                                      <a:prstGeom prst="rect">
                                        <a:avLst/>
                                      </a:prstGeom>
                                      <a:noFill/>
                                      <a:ln>
                                        <a:noFill/>
                                      </a:ln>
                                    </pic:spPr>
                                  </pic:pic>
                                </a:graphicData>
                              </a:graphic>
                            </wp:inline>
                          </w:drawing>
                        </w:r>
                      </w:p>
                    </w:txbxContent>
                  </v:textbox>
                  <w10:wrap type="square"/>
                </v:shape>
              </w:pict>
            </w:r>
            <w:r w:rsidR="00C6777F" w:rsidRPr="00173FA7">
              <w:rPr>
                <w:rFonts w:ascii="Times New Roman" w:hAnsi="Times New Roman" w:cs="Times New Roman"/>
                <w:b/>
                <w:i/>
              </w:rPr>
              <w:t>ThS. Nguyễn Minh Triết</w:t>
            </w:r>
            <w:r w:rsidR="00C6777F" w:rsidRPr="00173FA7">
              <w:rPr>
                <w:rFonts w:ascii="Times New Roman" w:hAnsi="Times New Roman" w:cs="Times New Roman"/>
              </w:rPr>
              <w:t xml:space="preserve"> Thạc sỹ Actuary tại trường IFSA, Đại học Lyon 1 của Pháp; có kinh nghiệm làm định phí bảo hiểm cho các công ty Prevoir, Prudential, ACE life, Groupama Việt Nam và Giảng viên toán định lượng tài chính tại trường Đại học Hoa Sen, Tp. Hồ Chí Minh. </w:t>
            </w:r>
          </w:p>
          <w:p w:rsidR="000D17D8" w:rsidRPr="00173FA7" w:rsidRDefault="000D17D8" w:rsidP="007F25E3">
            <w:pPr>
              <w:jc w:val="both"/>
              <w:rPr>
                <w:rFonts w:ascii="Times New Roman" w:hAnsi="Times New Roman" w:cs="Times New Roman"/>
                <w:b/>
              </w:rPr>
            </w:pPr>
          </w:p>
          <w:p w:rsidR="006019BF" w:rsidRPr="00173FA7" w:rsidRDefault="0021562D" w:rsidP="007F25E3">
            <w:pPr>
              <w:spacing w:after="120"/>
              <w:jc w:val="both"/>
              <w:rPr>
                <w:rFonts w:ascii="Times New Roman" w:hAnsi="Times New Roman" w:cs="Times New Roman"/>
              </w:rPr>
            </w:pPr>
            <w:r>
              <w:rPr>
                <w:rFonts w:ascii="Times New Roman" w:hAnsi="Times New Roman" w:cs="Times New Roman"/>
                <w:b/>
                <w:i/>
                <w:noProof/>
              </w:rPr>
              <w:pict>
                <v:shape id="_x0000_s1028" type="#_x0000_t202" style="position:absolute;left:0;text-align:left;margin-left:-3.85pt;margin-top:40.7pt;width:90pt;height:117.2pt;z-index:2516695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" filled="f" stroked="f">
                  <v:textbox style="mso-next-textbox:#_x0000_s1028;mso-fit-shape-to-text:t">
                    <w:txbxContent>
                      <w:p w:rsidR="00447C4B" w:rsidRDefault="001A4E35">
                        <w:r>
                          <w:rPr>
                            <w:noProof/>
                          </w:rPr>
                          <w:drawing>
                            <wp:inline distT="0" distB="0" distL="0" distR="0" wp14:anchorId="08DC7912" wp14:editId="0D1D6B6D">
                              <wp:extent cx="1006579" cy="12422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124" cy="1244110"/>
                                      </a:xfrm>
                                      <a:prstGeom prst="rect">
                                        <a:avLst/>
                                      </a:prstGeom>
                                      <a:noFill/>
                                      <a:ln>
                                        <a:noFill/>
                                      </a:ln>
                                    </pic:spPr>
                                  </pic:pic>
                                </a:graphicData>
                              </a:graphic>
                            </wp:inline>
                          </w:drawing>
                        </w:r>
                      </w:p>
                    </w:txbxContent>
                  </v:textbox>
                  <w10:wrap type="square"/>
                </v:shape>
              </w:pict>
            </w:r>
            <w:r w:rsidR="00884225" w:rsidRPr="00173FA7">
              <w:rPr>
                <w:rFonts w:ascii="Times New Roman" w:hAnsi="Times New Roman" w:cs="Times New Roman"/>
                <w:b/>
                <w:i/>
              </w:rPr>
              <w:t xml:space="preserve"> </w:t>
            </w:r>
            <w:r w:rsidR="000D17D8" w:rsidRPr="00173FA7">
              <w:rPr>
                <w:rFonts w:ascii="Times New Roman" w:hAnsi="Times New Roman" w:cs="Times New Roman"/>
                <w:b/>
                <w:i/>
                <w:spacing w:val="-2"/>
              </w:rPr>
              <w:t xml:space="preserve">ThS. </w:t>
            </w:r>
            <w:r w:rsidR="00884225" w:rsidRPr="00173FA7">
              <w:rPr>
                <w:rFonts w:ascii="Times New Roman" w:hAnsi="Times New Roman" w:cs="Times New Roman"/>
                <w:b/>
                <w:i/>
                <w:spacing w:val="-2"/>
              </w:rPr>
              <w:t>Trần Quang Ninh</w:t>
            </w:r>
            <w:r w:rsidR="000D17D8" w:rsidRPr="00173FA7">
              <w:rPr>
                <w:rFonts w:ascii="Times New Roman" w:hAnsi="Times New Roman" w:cs="Times New Roman"/>
                <w:b/>
                <w:spacing w:val="-2"/>
              </w:rPr>
              <w:t>,</w:t>
            </w:r>
            <w:r w:rsidR="000D17D8" w:rsidRPr="00173FA7">
              <w:rPr>
                <w:rFonts w:ascii="Times New Roman" w:hAnsi="Times New Roman" w:cs="Times New Roman"/>
                <w:spacing w:val="-2"/>
              </w:rPr>
              <w:t xml:space="preserve"> </w:t>
            </w:r>
            <w:r w:rsidR="00884225" w:rsidRPr="00173FA7">
              <w:rPr>
                <w:rFonts w:ascii="Times New Roman" w:hAnsi="Times New Roman" w:cs="Times New Roman"/>
                <w:spacing w:val="-2"/>
              </w:rPr>
              <w:t xml:space="preserve"> Giám đốc công ty FIRIS về </w:t>
            </w:r>
            <w:r w:rsidR="001A4E35" w:rsidRPr="00173FA7">
              <w:rPr>
                <w:rFonts w:ascii="Times New Roman" w:hAnsi="Times New Roman" w:cs="Times New Roman"/>
                <w:spacing w:val="-2"/>
              </w:rPr>
              <w:t xml:space="preserve">tư vấn </w:t>
            </w:r>
            <w:r w:rsidR="00884225" w:rsidRPr="00173FA7">
              <w:rPr>
                <w:rFonts w:ascii="Times New Roman" w:hAnsi="Times New Roman" w:cs="Times New Roman"/>
                <w:spacing w:val="-2"/>
              </w:rPr>
              <w:t xml:space="preserve">Actuary và rủi ro tài chính. Thạc sỹ Actuary tại trường IFSA, </w:t>
            </w:r>
            <w:r w:rsidR="00C6777F" w:rsidRPr="00173FA7">
              <w:rPr>
                <w:rFonts w:ascii="Times New Roman" w:hAnsi="Times New Roman" w:cs="Times New Roman"/>
                <w:spacing w:val="-2"/>
              </w:rPr>
              <w:t>Đ</w:t>
            </w:r>
            <w:r w:rsidR="00884225" w:rsidRPr="00173FA7">
              <w:rPr>
                <w:rFonts w:ascii="Times New Roman" w:hAnsi="Times New Roman" w:cs="Times New Roman"/>
                <w:spacing w:val="-2"/>
              </w:rPr>
              <w:t>ại học Lyon 1</w:t>
            </w:r>
            <w:r w:rsidR="00884225" w:rsidRPr="00173FA7">
              <w:rPr>
                <w:rFonts w:ascii="Times New Roman" w:hAnsi="Times New Roman" w:cs="Times New Roman"/>
              </w:rPr>
              <w:t xml:space="preserve"> của Pháp; </w:t>
            </w:r>
            <w:r w:rsidR="00C6777F" w:rsidRPr="00173FA7">
              <w:rPr>
                <w:rFonts w:ascii="Times New Roman" w:hAnsi="Times New Roman" w:cs="Times New Roman"/>
              </w:rPr>
              <w:t xml:space="preserve">có kinh nghiệm </w:t>
            </w:r>
            <w:r w:rsidR="00884225" w:rsidRPr="00173FA7">
              <w:rPr>
                <w:rFonts w:ascii="Times New Roman" w:hAnsi="Times New Roman" w:cs="Times New Roman"/>
              </w:rPr>
              <w:t xml:space="preserve">làm định phí bảo hiểm cho các công ty Prevoir Việt Nam, Bảo Minh – AXA Group, Groupama Việt Nam và giảng viên trường đại học Ngoại ngữ thuộc </w:t>
            </w:r>
            <w:r w:rsidR="00C6777F" w:rsidRPr="00173FA7">
              <w:rPr>
                <w:rFonts w:ascii="Times New Roman" w:hAnsi="Times New Roman" w:cs="Times New Roman"/>
              </w:rPr>
              <w:t>Đ</w:t>
            </w:r>
            <w:r w:rsidR="00884225" w:rsidRPr="00173FA7">
              <w:rPr>
                <w:rFonts w:ascii="Times New Roman" w:hAnsi="Times New Roman" w:cs="Times New Roman"/>
              </w:rPr>
              <w:t xml:space="preserve">HQG Hà Nội năm 2009.         </w:t>
            </w:r>
          </w:p>
          <w:p w:rsidR="00716B2D" w:rsidRPr="00173FA7" w:rsidRDefault="00716B2D" w:rsidP="007F25E3">
            <w:pPr>
              <w:spacing w:after="120"/>
              <w:jc w:val="both"/>
              <w:rPr>
                <w:rFonts w:ascii="Times New Roman" w:hAnsi="Times New Roman" w:cs="Times New Roman"/>
                <w:b/>
              </w:rPr>
            </w:pPr>
          </w:p>
          <w:p w:rsidR="005644CE" w:rsidRPr="00173FA7" w:rsidRDefault="005644CE" w:rsidP="007F25E3">
            <w:pPr>
              <w:spacing w:after="120"/>
              <w:jc w:val="both"/>
              <w:rPr>
                <w:rFonts w:ascii="Times New Roman" w:hAnsi="Times New Roman" w:cs="Times New Roman"/>
                <w:b/>
              </w:rPr>
            </w:pPr>
            <w:r w:rsidRPr="00173FA7">
              <w:rPr>
                <w:rFonts w:ascii="Times New Roman" w:hAnsi="Times New Roman" w:cs="Times New Roman"/>
                <w:b/>
              </w:rPr>
              <w:t>Giảng viên hỗ trợ ôn luyện, giải bài tập từ xa</w:t>
            </w:r>
            <w:r w:rsidR="009B0418" w:rsidRPr="00173FA7">
              <w:rPr>
                <w:rFonts w:ascii="Times New Roman" w:hAnsi="Times New Roman" w:cs="Times New Roman"/>
                <w:b/>
              </w:rPr>
              <w:t>:</w:t>
            </w:r>
          </w:p>
          <w:p w:rsidR="009B6589" w:rsidRPr="00173FA7" w:rsidRDefault="0021562D" w:rsidP="009B6589">
            <w:pPr>
              <w:spacing w:after="120"/>
              <w:jc w:val="both"/>
              <w:rPr>
                <w:rFonts w:ascii="Times New Roman" w:hAnsi="Times New Roman" w:cs="Times New Roman"/>
              </w:rPr>
            </w:pPr>
            <w:r>
              <w:rPr>
                <w:rFonts w:ascii="Times New Roman" w:hAnsi="Times New Roman" w:cs="Times New Roman"/>
                <w:b/>
                <w:i/>
                <w:noProof/>
              </w:rPr>
              <w:pict>
                <v:shape id="_x0000_s1031" type="#_x0000_t202" style="position:absolute;left:0;text-align:left;margin-left:-3.85pt;margin-top:40.7pt;width:93.7pt;height:117.2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" filled="f" stroked="f">
                  <v:textbox style="mso-next-textbox:#_x0000_s1031">
                    <w:txbxContent>
                      <w:p w:rsidR="009B6589" w:rsidRDefault="009B6589" w:rsidP="009B6589">
                        <w:r>
                          <w:rPr>
                            <w:noProof/>
                          </w:rPr>
                          <w:drawing>
                            <wp:inline distT="0" distB="0" distL="0" distR="0" wp14:anchorId="2B12F4B1" wp14:editId="1141E892">
                              <wp:extent cx="1006188" cy="1264920"/>
                              <wp:effectExtent l="0" t="0" r="0" b="0"/>
                              <wp:docPr id="2" name="Picture 2" descr="E:\Work\1. Nam 2015\ACTUARY\CV giang vien\Chi T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1. Nam 2015\ACTUARY\CV giang vien\Chi Th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03" cy="1289201"/>
                                      </a:xfrm>
                                      <a:prstGeom prst="rect">
                                        <a:avLst/>
                                      </a:prstGeom>
                                      <a:noFill/>
                                      <a:ln>
                                        <a:noFill/>
                                      </a:ln>
                                    </pic:spPr>
                                  </pic:pic>
                                </a:graphicData>
                              </a:graphic>
                            </wp:inline>
                          </w:drawing>
                        </w:r>
                      </w:p>
                    </w:txbxContent>
                  </v:textbox>
                  <w10:wrap type="square"/>
                </v:shape>
              </w:pict>
            </w:r>
            <w:r w:rsidR="00173FA7">
              <w:rPr>
                <w:rFonts w:ascii="Times New Roman" w:hAnsi="Times New Roman" w:cs="Times New Roman"/>
                <w:b/>
                <w:i/>
              </w:rPr>
              <w:t>NCS</w:t>
            </w:r>
            <w:r w:rsidR="009B6589" w:rsidRPr="00173FA7">
              <w:rPr>
                <w:rFonts w:ascii="Times New Roman" w:hAnsi="Times New Roman" w:cs="Times New Roman"/>
                <w:b/>
                <w:i/>
              </w:rPr>
              <w:t>. Phạm Thị Hồng Thắm</w:t>
            </w:r>
            <w:r w:rsidR="009B6589" w:rsidRPr="00173FA7">
              <w:rPr>
                <w:rFonts w:ascii="Times New Roman" w:hAnsi="Times New Roman" w:cs="Times New Roman"/>
                <w:b/>
              </w:rPr>
              <w:t>,</w:t>
            </w:r>
            <w:r w:rsidR="009B6589" w:rsidRPr="00173FA7">
              <w:rPr>
                <w:rFonts w:ascii="Times New Roman" w:hAnsi="Times New Roman" w:cs="Times New Roman"/>
              </w:rPr>
              <w:t xml:space="preserve"> Thạc sỹ Actuary </w:t>
            </w:r>
            <w:r w:rsidR="00C6777F" w:rsidRPr="00173FA7">
              <w:rPr>
                <w:rFonts w:ascii="Times New Roman" w:hAnsi="Times New Roman" w:cs="Times New Roman"/>
              </w:rPr>
              <w:t>Đ</w:t>
            </w:r>
            <w:r w:rsidR="009B6589" w:rsidRPr="00173FA7">
              <w:rPr>
                <w:rFonts w:ascii="Times New Roman" w:hAnsi="Times New Roman" w:cs="Times New Roman"/>
              </w:rPr>
              <w:t>ại học Lyon 1; Tham gia các nghiên cứu về toán ứng dụng trong kinh tế và đo lường rủi ro; trực tiếp giảng dạy các môn kinh tế lượng, mô hình phân tích và định giá tài sản tài chính, lý thuyết xác suất và thống kê toán; Hiện Ths. Phạm Thị Hồng Thắm đang là giảng</w:t>
            </w:r>
            <w:r w:rsidR="00AF63DB" w:rsidRPr="00173FA7">
              <w:rPr>
                <w:rFonts w:ascii="Times New Roman" w:hAnsi="Times New Roman" w:cs="Times New Roman"/>
              </w:rPr>
              <w:t xml:space="preserve"> </w:t>
            </w:r>
            <w:r w:rsidR="009B6589" w:rsidRPr="00173FA7">
              <w:rPr>
                <w:rFonts w:ascii="Times New Roman" w:hAnsi="Times New Roman" w:cs="Times New Roman"/>
              </w:rPr>
              <w:t>viên Khoa toán kinh tế tại đại học Kinh tế Quốc dân từ năm 2005.</w:t>
            </w:r>
          </w:p>
          <w:p w:rsidR="00884225" w:rsidRPr="00173FA7" w:rsidRDefault="00884225" w:rsidP="00FA2C2B">
            <w:pPr>
              <w:jc w:val="both"/>
              <w:rPr>
                <w:rFonts w:ascii="Times New Roman" w:hAnsi="Times New Roman" w:cs="Times New Roman"/>
              </w:rPr>
            </w:pPr>
            <w:r w:rsidRPr="00173FA7">
              <w:rPr>
                <w:rFonts w:ascii="Times New Roman" w:hAnsi="Times New Roman" w:cs="Times New Roman"/>
                <w:b/>
                <w:i/>
              </w:rPr>
              <w:t>ThS</w:t>
            </w:r>
            <w:r w:rsidR="00AB4C19">
              <w:rPr>
                <w:rFonts w:ascii="Times New Roman" w:hAnsi="Times New Roman" w:cs="Times New Roman"/>
                <w:b/>
                <w:i/>
              </w:rPr>
              <w:t>.</w:t>
            </w:r>
            <w:r w:rsidRPr="00173FA7">
              <w:rPr>
                <w:rFonts w:ascii="Times New Roman" w:hAnsi="Times New Roman" w:cs="Times New Roman"/>
                <w:b/>
                <w:i/>
              </w:rPr>
              <w:t xml:space="preserve"> Hứa Vy Ngọc Anh</w:t>
            </w:r>
            <w:r w:rsidR="00173FA7">
              <w:rPr>
                <w:rFonts w:ascii="Times New Roman" w:hAnsi="Times New Roman" w:cs="Times New Roman"/>
                <w:b/>
                <w:i/>
              </w:rPr>
              <w:t>,</w:t>
            </w:r>
            <w:r w:rsidRPr="00173FA7">
              <w:rPr>
                <w:rFonts w:ascii="Times New Roman" w:hAnsi="Times New Roman" w:cs="Times New Roman"/>
              </w:rPr>
              <w:t xml:space="preserve"> </w:t>
            </w:r>
            <w:r w:rsidR="00C6777F" w:rsidRPr="00173FA7">
              <w:rPr>
                <w:rFonts w:ascii="Times New Roman" w:hAnsi="Times New Roman" w:cs="Times New Roman"/>
              </w:rPr>
              <w:t>T</w:t>
            </w:r>
            <w:r w:rsidRPr="00173FA7">
              <w:rPr>
                <w:rFonts w:ascii="Times New Roman" w:hAnsi="Times New Roman" w:cs="Times New Roman"/>
              </w:rPr>
              <w:t>hạc sỹ toán trường đại học Khoa Học Tự</w:t>
            </w:r>
            <w:r w:rsidR="00C6777F" w:rsidRPr="00173FA7">
              <w:rPr>
                <w:rFonts w:ascii="Times New Roman" w:hAnsi="Times New Roman" w:cs="Times New Roman"/>
              </w:rPr>
              <w:t xml:space="preserve"> Nhiên T</w:t>
            </w:r>
            <w:r w:rsidR="00AB4C19">
              <w:rPr>
                <w:rFonts w:ascii="Times New Roman" w:hAnsi="Times New Roman" w:cs="Times New Roman"/>
              </w:rPr>
              <w:t>p.</w:t>
            </w:r>
            <w:r w:rsidR="00C6777F" w:rsidRPr="00173FA7">
              <w:rPr>
                <w:rFonts w:ascii="Times New Roman" w:hAnsi="Times New Roman" w:cs="Times New Roman"/>
              </w:rPr>
              <w:t xml:space="preserve"> HCM, với 0</w:t>
            </w:r>
            <w:r w:rsidRPr="00173FA7">
              <w:rPr>
                <w:rFonts w:ascii="Times New Roman" w:hAnsi="Times New Roman" w:cs="Times New Roman"/>
              </w:rPr>
              <w:t>5 năm kinh nghiệm định phí bảo hiểm.</w:t>
            </w:r>
          </w:p>
          <w:p w:rsidR="00884225" w:rsidRPr="00173FA7" w:rsidRDefault="00884225" w:rsidP="00FA2C2B">
            <w:pPr>
              <w:jc w:val="both"/>
              <w:rPr>
                <w:rFonts w:ascii="Times New Roman" w:hAnsi="Times New Roman" w:cs="Times New Roman"/>
              </w:rPr>
            </w:pPr>
          </w:p>
          <w:p w:rsidR="00880862" w:rsidRPr="00173FA7" w:rsidRDefault="00880862" w:rsidP="00FA2C2B">
            <w:pPr>
              <w:jc w:val="both"/>
              <w:rPr>
                <w:rFonts w:ascii="Times New Roman" w:hAnsi="Times New Roman" w:cs="Times New Roman"/>
              </w:rPr>
            </w:pPr>
          </w:p>
        </w:tc>
      </w:tr>
      <w:tr w:rsidR="000D17D8" w:rsidRPr="0046372B" w:rsidTr="0092414E">
        <w:trPr>
          <w:trHeight w:val="2022"/>
        </w:trPr>
        <w:tc>
          <w:tcPr>
            <w:tcW w:w="6062" w:type="dxa"/>
            <w:vMerge w:val="restart"/>
            <w:tcBorders>
              <w:top w:val="nil"/>
              <w:bottom w:val="nil"/>
              <w:right w:val="nil"/>
            </w:tcBorders>
            <w:shd w:val="clear" w:color="auto" w:fill="auto"/>
          </w:tcPr>
          <w:p w:rsidR="000D17D8" w:rsidRPr="00173FA7" w:rsidRDefault="006E6BEE" w:rsidP="007F25E3">
            <w:pPr>
              <w:spacing w:before="120"/>
              <w:rPr>
                <w:rFonts w:ascii="Times New Roman" w:hAnsi="Times New Roman" w:cs="Times New Roman"/>
                <w:b/>
              </w:rPr>
            </w:pPr>
            <w:r w:rsidRPr="00173FA7">
              <w:rPr>
                <w:rFonts w:ascii="Times New Roman" w:hAnsi="Times New Roman" w:cs="Times New Roman"/>
                <w:b/>
              </w:rPr>
              <w:t>Đ</w:t>
            </w:r>
            <w:r w:rsidR="000D17D8" w:rsidRPr="00173FA7">
              <w:rPr>
                <w:rFonts w:ascii="Times New Roman" w:hAnsi="Times New Roman" w:cs="Times New Roman"/>
                <w:b/>
              </w:rPr>
              <w:t>ối tượng học viên</w:t>
            </w:r>
          </w:p>
          <w:p w:rsidR="00111393" w:rsidRPr="00173FA7" w:rsidRDefault="006E6BEE" w:rsidP="007F25E3">
            <w:pPr>
              <w:tabs>
                <w:tab w:val="left" w:pos="709"/>
                <w:tab w:val="left" w:pos="851"/>
              </w:tabs>
              <w:jc w:val="both"/>
              <w:rPr>
                <w:rFonts w:ascii="Times New Roman" w:eastAsia="Times New Roman" w:hAnsi="Times New Roman" w:cs="Times New Roman"/>
              </w:rPr>
            </w:pPr>
            <w:r w:rsidRPr="00173FA7">
              <w:rPr>
                <w:rFonts w:ascii="Times New Roman" w:hAnsi="Times New Roman" w:cs="Times New Roman"/>
              </w:rPr>
              <w:t>Các cán bộ DNBH và các cá nhân quan tâm</w:t>
            </w:r>
            <w:r w:rsidR="00AB4C19">
              <w:rPr>
                <w:rFonts w:ascii="Times New Roman" w:hAnsi="Times New Roman" w:cs="Times New Roman"/>
              </w:rPr>
              <w:t xml:space="preserve"> tới khóa đào tạo,</w:t>
            </w:r>
            <w:r w:rsidRPr="00173FA7">
              <w:rPr>
                <w:rFonts w:ascii="Times New Roman" w:hAnsi="Times New Roman" w:cs="Times New Roman"/>
              </w:rPr>
              <w:t xml:space="preserve"> </w:t>
            </w:r>
            <w:r w:rsidR="000D17D8" w:rsidRPr="00173FA7">
              <w:rPr>
                <w:rFonts w:ascii="Times New Roman" w:eastAsia="Times New Roman" w:hAnsi="Times New Roman" w:cs="Times New Roman"/>
              </w:rPr>
              <w:t>đã tốt nghiệp đại học</w:t>
            </w:r>
            <w:r w:rsidR="00C6777F" w:rsidRPr="00173FA7">
              <w:rPr>
                <w:rFonts w:ascii="Times New Roman" w:eastAsia="Times New Roman" w:hAnsi="Times New Roman" w:cs="Times New Roman"/>
              </w:rPr>
              <w:t xml:space="preserve"> có chuyên ngành về tài chính</w:t>
            </w:r>
            <w:r w:rsidR="00AB4C19">
              <w:rPr>
                <w:rFonts w:ascii="Times New Roman" w:eastAsia="Times New Roman" w:hAnsi="Times New Roman" w:cs="Times New Roman"/>
              </w:rPr>
              <w:t>,</w:t>
            </w:r>
            <w:r w:rsidR="00C6777F" w:rsidRPr="00173FA7">
              <w:rPr>
                <w:rFonts w:ascii="Times New Roman" w:eastAsia="Times New Roman" w:hAnsi="Times New Roman" w:cs="Times New Roman"/>
              </w:rPr>
              <w:t xml:space="preserve"> ngân hàng</w:t>
            </w:r>
            <w:r w:rsidR="00AB4C19">
              <w:rPr>
                <w:rFonts w:ascii="Times New Roman" w:eastAsia="Times New Roman" w:hAnsi="Times New Roman" w:cs="Times New Roman"/>
              </w:rPr>
              <w:t>,</w:t>
            </w:r>
            <w:r w:rsidR="00C6777F" w:rsidRPr="00173FA7">
              <w:rPr>
                <w:rFonts w:ascii="Times New Roman" w:eastAsia="Times New Roman" w:hAnsi="Times New Roman" w:cs="Times New Roman"/>
              </w:rPr>
              <w:t xml:space="preserve"> bảo hiểm, toán kinh tế.</w:t>
            </w:r>
          </w:p>
          <w:p w:rsidR="003F4F64" w:rsidRPr="00173FA7" w:rsidRDefault="000D17D8" w:rsidP="007F25E3">
            <w:pPr>
              <w:tabs>
                <w:tab w:val="left" w:pos="709"/>
                <w:tab w:val="left" w:pos="851"/>
              </w:tabs>
              <w:spacing w:before="120"/>
              <w:rPr>
                <w:rFonts w:ascii="Times New Roman" w:eastAsia="Times New Roman" w:hAnsi="Times New Roman" w:cs="Times New Roman"/>
                <w:b/>
              </w:rPr>
            </w:pPr>
            <w:r w:rsidRPr="00173FA7">
              <w:rPr>
                <w:rFonts w:ascii="Times New Roman" w:eastAsia="Times New Roman" w:hAnsi="Times New Roman" w:cs="Times New Roman"/>
                <w:b/>
              </w:rPr>
              <w:t xml:space="preserve">Thời lượng </w:t>
            </w:r>
            <w:r w:rsidR="003F4F64" w:rsidRPr="00173FA7">
              <w:rPr>
                <w:rFonts w:ascii="Times New Roman" w:eastAsia="Times New Roman" w:hAnsi="Times New Roman" w:cs="Times New Roman"/>
                <w:b/>
              </w:rPr>
              <w:t>và Hình thức đào tạo</w:t>
            </w:r>
          </w:p>
          <w:p w:rsidR="000D17D8" w:rsidRPr="00173FA7" w:rsidRDefault="000D17D8" w:rsidP="007F25E3">
            <w:pPr>
              <w:tabs>
                <w:tab w:val="left" w:pos="709"/>
                <w:tab w:val="left" w:pos="851"/>
              </w:tabs>
              <w:jc w:val="both"/>
              <w:rPr>
                <w:rFonts w:ascii="Times New Roman" w:eastAsia="Times New Roman" w:hAnsi="Times New Roman" w:cs="Times New Roman"/>
              </w:rPr>
            </w:pPr>
            <w:r w:rsidRPr="00173FA7">
              <w:rPr>
                <w:rFonts w:ascii="Times New Roman" w:eastAsia="Times New Roman" w:hAnsi="Times New Roman" w:cs="Times New Roman"/>
              </w:rPr>
              <w:t xml:space="preserve">Thời gian ôn luyện cho mỗi kỳ thi Exam là 210 giờ; </w:t>
            </w:r>
          </w:p>
          <w:p w:rsidR="000D17D8" w:rsidRPr="00173FA7" w:rsidRDefault="000D17D8" w:rsidP="007F25E3">
            <w:pPr>
              <w:tabs>
                <w:tab w:val="left" w:pos="709"/>
                <w:tab w:val="left" w:pos="851"/>
              </w:tabs>
              <w:jc w:val="both"/>
              <w:rPr>
                <w:rFonts w:ascii="Times New Roman" w:eastAsia="Times New Roman" w:hAnsi="Times New Roman" w:cs="Times New Roman"/>
              </w:rPr>
            </w:pPr>
            <w:r w:rsidRPr="00173FA7">
              <w:rPr>
                <w:rFonts w:ascii="Times New Roman" w:eastAsia="Times New Roman" w:hAnsi="Times New Roman" w:cs="Times New Roman"/>
              </w:rPr>
              <w:t>Đào tạo tại lớp học vào thứ 7, chủ nhật</w:t>
            </w:r>
            <w:r w:rsidR="00C6777F" w:rsidRPr="00173FA7">
              <w:rPr>
                <w:rFonts w:ascii="Times New Roman" w:eastAsia="Times New Roman" w:hAnsi="Times New Roman" w:cs="Times New Roman"/>
              </w:rPr>
              <w:t xml:space="preserve"> (120 giờ)</w:t>
            </w:r>
            <w:r w:rsidRPr="00173FA7">
              <w:rPr>
                <w:rFonts w:ascii="Times New Roman" w:eastAsia="Times New Roman" w:hAnsi="Times New Roman" w:cs="Times New Roman"/>
              </w:rPr>
              <w:t xml:space="preserve">; </w:t>
            </w:r>
          </w:p>
          <w:p w:rsidR="000D17D8" w:rsidRPr="00173FA7" w:rsidRDefault="000D17D8" w:rsidP="007F25E3">
            <w:pPr>
              <w:tabs>
                <w:tab w:val="left" w:pos="709"/>
                <w:tab w:val="left" w:pos="851"/>
              </w:tabs>
              <w:jc w:val="both"/>
              <w:rPr>
                <w:rFonts w:ascii="Times New Roman" w:eastAsia="Times New Roman" w:hAnsi="Times New Roman" w:cs="Times New Roman"/>
              </w:rPr>
            </w:pPr>
            <w:r w:rsidRPr="00173FA7">
              <w:rPr>
                <w:rFonts w:ascii="Times New Roman" w:eastAsia="Times New Roman" w:hAnsi="Times New Roman" w:cs="Times New Roman"/>
              </w:rPr>
              <w:t xml:space="preserve">Đào tạo </w:t>
            </w:r>
            <w:r w:rsidR="003F4F64" w:rsidRPr="00173FA7">
              <w:rPr>
                <w:rFonts w:ascii="Times New Roman" w:eastAsia="Times New Roman" w:hAnsi="Times New Roman" w:cs="Times New Roman"/>
              </w:rPr>
              <w:t>từ xa 2 ngày trong tuần (</w:t>
            </w:r>
            <w:r w:rsidR="00C6777F" w:rsidRPr="00173FA7">
              <w:rPr>
                <w:rFonts w:ascii="Times New Roman" w:eastAsia="Times New Roman" w:hAnsi="Times New Roman" w:cs="Times New Roman"/>
              </w:rPr>
              <w:t xml:space="preserve">90 giờ </w:t>
            </w:r>
            <w:r w:rsidRPr="00173FA7">
              <w:rPr>
                <w:rFonts w:ascii="Times New Roman" w:eastAsia="Times New Roman" w:hAnsi="Times New Roman" w:cs="Times New Roman"/>
              </w:rPr>
              <w:t>hỗ trợ giải bài tập).</w:t>
            </w:r>
          </w:p>
          <w:p w:rsidR="000D17D8" w:rsidRPr="00173FA7" w:rsidRDefault="000D17D8" w:rsidP="007F25E3">
            <w:pPr>
              <w:spacing w:before="120"/>
              <w:rPr>
                <w:rFonts w:ascii="Times New Roman" w:hAnsi="Times New Roman" w:cs="Times New Roman"/>
                <w:b/>
                <w:lang w:val="vi-VN"/>
              </w:rPr>
            </w:pPr>
            <w:r w:rsidRPr="00173FA7">
              <w:rPr>
                <w:rFonts w:ascii="Times New Roman" w:hAnsi="Times New Roman" w:cs="Times New Roman"/>
                <w:b/>
                <w:lang w:val="vi-VN"/>
              </w:rPr>
              <w:t>Kết quả đào tạo</w:t>
            </w:r>
          </w:p>
          <w:p w:rsidR="000D17D8" w:rsidRPr="00173FA7" w:rsidRDefault="000D17D8" w:rsidP="007F25E3">
            <w:pPr>
              <w:tabs>
                <w:tab w:val="left" w:pos="567"/>
              </w:tabs>
              <w:jc w:val="both"/>
              <w:rPr>
                <w:rFonts w:ascii="Times New Roman" w:eastAsia="Times New Roman" w:hAnsi="Times New Roman" w:cs="Times New Roman"/>
                <w:b/>
              </w:rPr>
            </w:pPr>
            <w:r w:rsidRPr="00173FA7">
              <w:rPr>
                <w:rFonts w:ascii="Times New Roman" w:eastAsia="Times New Roman" w:hAnsi="Times New Roman" w:cs="Times New Roman"/>
              </w:rPr>
              <w:t xml:space="preserve">Sau khi hoàn thành </w:t>
            </w:r>
            <w:r w:rsidR="00481CCB" w:rsidRPr="00173FA7">
              <w:rPr>
                <w:rFonts w:ascii="Times New Roman" w:eastAsia="Times New Roman" w:hAnsi="Times New Roman" w:cs="Times New Roman"/>
              </w:rPr>
              <w:t>khóa đào tạo luyện thi, học viên sẽ tham dự  kỳ thi</w:t>
            </w:r>
            <w:r w:rsidRPr="00173FA7">
              <w:rPr>
                <w:rFonts w:ascii="Times New Roman" w:eastAsia="Times New Roman" w:hAnsi="Times New Roman" w:cs="Times New Roman"/>
              </w:rPr>
              <w:t xml:space="preserve"> E</w:t>
            </w:r>
            <w:r w:rsidR="00BC240D" w:rsidRPr="00173FA7">
              <w:rPr>
                <w:rFonts w:ascii="Times New Roman" w:eastAsia="Times New Roman" w:hAnsi="Times New Roman" w:cs="Times New Roman"/>
              </w:rPr>
              <w:t>xam</w:t>
            </w:r>
            <w:r w:rsidR="00C6777F" w:rsidRPr="00173FA7">
              <w:rPr>
                <w:rFonts w:ascii="Times New Roman" w:eastAsia="Times New Roman" w:hAnsi="Times New Roman" w:cs="Times New Roman"/>
              </w:rPr>
              <w:t xml:space="preserve"> </w:t>
            </w:r>
            <w:r w:rsidR="0046372B" w:rsidRPr="00173FA7">
              <w:rPr>
                <w:rFonts w:ascii="Times New Roman" w:eastAsia="Times New Roman" w:hAnsi="Times New Roman" w:cs="Times New Roman"/>
              </w:rPr>
              <w:t>P</w:t>
            </w:r>
            <w:r w:rsidR="00481CCB" w:rsidRPr="00173FA7">
              <w:rPr>
                <w:rFonts w:ascii="Times New Roman" w:eastAsia="Times New Roman" w:hAnsi="Times New Roman" w:cs="Times New Roman"/>
              </w:rPr>
              <w:t>,</w:t>
            </w:r>
            <w:r w:rsidRPr="00173FA7">
              <w:rPr>
                <w:rFonts w:ascii="Times New Roman" w:eastAsia="Times New Roman" w:hAnsi="Times New Roman" w:cs="Times New Roman"/>
              </w:rPr>
              <w:t xml:space="preserve"> E</w:t>
            </w:r>
            <w:r w:rsidR="00BC240D" w:rsidRPr="00173FA7">
              <w:rPr>
                <w:rFonts w:ascii="Times New Roman" w:eastAsia="Times New Roman" w:hAnsi="Times New Roman" w:cs="Times New Roman"/>
              </w:rPr>
              <w:t>xam</w:t>
            </w:r>
            <w:r w:rsidR="0046372B" w:rsidRPr="00173FA7">
              <w:rPr>
                <w:rFonts w:ascii="Times New Roman" w:eastAsia="Times New Roman" w:hAnsi="Times New Roman" w:cs="Times New Roman"/>
              </w:rPr>
              <w:t xml:space="preserve"> FM</w:t>
            </w:r>
            <w:r w:rsidR="00481CCB" w:rsidRPr="00173FA7">
              <w:rPr>
                <w:rFonts w:ascii="Times New Roman" w:eastAsia="Times New Roman" w:hAnsi="Times New Roman" w:cs="Times New Roman"/>
              </w:rPr>
              <w:t xml:space="preserve"> để lấy ch</w:t>
            </w:r>
            <w:r w:rsidR="00C6777F" w:rsidRPr="00173FA7">
              <w:rPr>
                <w:rFonts w:ascii="Times New Roman" w:eastAsia="Times New Roman" w:hAnsi="Times New Roman" w:cs="Times New Roman"/>
              </w:rPr>
              <w:t>ứ</w:t>
            </w:r>
            <w:r w:rsidR="00481CCB" w:rsidRPr="00173FA7">
              <w:rPr>
                <w:rFonts w:ascii="Times New Roman" w:eastAsia="Times New Roman" w:hAnsi="Times New Roman" w:cs="Times New Roman"/>
              </w:rPr>
              <w:t>ng chỉ của SOA</w:t>
            </w:r>
            <w:r w:rsidRPr="00173FA7">
              <w:rPr>
                <w:rFonts w:ascii="Times New Roman" w:eastAsia="Times New Roman" w:hAnsi="Times New Roman" w:cs="Times New Roman"/>
              </w:rPr>
              <w:t xml:space="preserve">. </w:t>
            </w:r>
          </w:p>
          <w:p w:rsidR="000D17D8" w:rsidRPr="00173FA7" w:rsidRDefault="000D17D8" w:rsidP="007F25E3">
            <w:pPr>
              <w:tabs>
                <w:tab w:val="left" w:pos="851"/>
              </w:tabs>
              <w:spacing w:before="120"/>
              <w:rPr>
                <w:rFonts w:ascii="Times New Roman" w:eastAsia="Times New Roman" w:hAnsi="Times New Roman" w:cs="Times New Roman"/>
              </w:rPr>
            </w:pPr>
            <w:r w:rsidRPr="00173FA7">
              <w:rPr>
                <w:rFonts w:ascii="Times New Roman" w:eastAsia="Times New Roman" w:hAnsi="Times New Roman" w:cs="Times New Roman"/>
                <w:b/>
              </w:rPr>
              <w:t>Học phí</w:t>
            </w:r>
          </w:p>
          <w:p w:rsidR="00D10B7C" w:rsidRDefault="000D17D8" w:rsidP="00C6777F">
            <w:pPr>
              <w:jc w:val="both"/>
              <w:rPr>
                <w:rFonts w:ascii="Times New Roman" w:eastAsia="Calibri" w:hAnsi="Times New Roman" w:cs="Times New Roman"/>
              </w:rPr>
            </w:pPr>
            <w:r w:rsidRPr="00173FA7">
              <w:rPr>
                <w:rFonts w:ascii="Times New Roman" w:eastAsia="Calibri" w:hAnsi="Times New Roman" w:cs="Times New Roman"/>
              </w:rPr>
              <w:t>2</w:t>
            </w:r>
            <w:r w:rsidR="00C6777F" w:rsidRPr="00173FA7">
              <w:rPr>
                <w:rFonts w:ascii="Times New Roman" w:eastAsia="Calibri" w:hAnsi="Times New Roman" w:cs="Times New Roman"/>
              </w:rPr>
              <w:t>5</w:t>
            </w:r>
            <w:r w:rsidRPr="00173FA7">
              <w:rPr>
                <w:rFonts w:ascii="Times New Roman" w:eastAsia="Calibri" w:hAnsi="Times New Roman" w:cs="Times New Roman"/>
              </w:rPr>
              <w:t>.000.000 đồng/khóa luyện thi 01 Exam/</w:t>
            </w:r>
            <w:r w:rsidR="00C6777F" w:rsidRPr="00173FA7">
              <w:rPr>
                <w:rFonts w:ascii="Times New Roman" w:eastAsia="Calibri" w:hAnsi="Times New Roman" w:cs="Times New Roman"/>
              </w:rPr>
              <w:t>01 học viên. Chi phí</w:t>
            </w:r>
            <w:r w:rsidR="009B0418" w:rsidRPr="00173FA7">
              <w:rPr>
                <w:rFonts w:ascii="Times New Roman" w:eastAsia="Calibri" w:hAnsi="Times New Roman" w:cs="Times New Roman"/>
              </w:rPr>
              <w:t xml:space="preserve"> </w:t>
            </w:r>
            <w:r w:rsidRPr="00173FA7">
              <w:rPr>
                <w:rFonts w:ascii="Times New Roman" w:eastAsia="Calibri" w:hAnsi="Times New Roman" w:cs="Times New Roman"/>
              </w:rPr>
              <w:t>bao gô</w:t>
            </w:r>
            <w:r w:rsidR="009B0418" w:rsidRPr="00173FA7">
              <w:rPr>
                <w:rFonts w:ascii="Times New Roman" w:eastAsia="Calibri" w:hAnsi="Times New Roman" w:cs="Times New Roman"/>
              </w:rPr>
              <w:t>̀m:  Học phí; Tài liệu đào tạo, ôn tập</w:t>
            </w:r>
            <w:r w:rsidR="0046372B" w:rsidRPr="00173FA7">
              <w:rPr>
                <w:rFonts w:ascii="Times New Roman" w:eastAsia="Calibri" w:hAnsi="Times New Roman" w:cs="Times New Roman"/>
              </w:rPr>
              <w:t xml:space="preserve"> (chưa gồm lệ ph</w:t>
            </w:r>
            <w:r w:rsidR="007F25E3" w:rsidRPr="00173FA7">
              <w:rPr>
                <w:rFonts w:ascii="Times New Roman" w:eastAsia="Calibri" w:hAnsi="Times New Roman" w:cs="Times New Roman"/>
              </w:rPr>
              <w:t>í</w:t>
            </w:r>
            <w:r w:rsidR="0046372B" w:rsidRPr="00173FA7">
              <w:rPr>
                <w:rFonts w:ascii="Times New Roman" w:eastAsia="Calibri" w:hAnsi="Times New Roman" w:cs="Times New Roman"/>
              </w:rPr>
              <w:t xml:space="preserve"> tham gia thi </w:t>
            </w:r>
            <w:r w:rsidR="00C6777F" w:rsidRPr="00173FA7">
              <w:rPr>
                <w:rFonts w:ascii="Times New Roman" w:eastAsia="Calibri" w:hAnsi="Times New Roman" w:cs="Times New Roman"/>
              </w:rPr>
              <w:t>chứng</w:t>
            </w:r>
            <w:r w:rsidR="0046372B" w:rsidRPr="00173FA7">
              <w:rPr>
                <w:rFonts w:ascii="Times New Roman" w:eastAsia="Calibri" w:hAnsi="Times New Roman" w:cs="Times New Roman"/>
              </w:rPr>
              <w:t xml:space="preserve"> chỉ của SOA)</w:t>
            </w:r>
            <w:r w:rsidRPr="00173FA7">
              <w:rPr>
                <w:rFonts w:ascii="Times New Roman" w:eastAsia="Calibri" w:hAnsi="Times New Roman" w:cs="Times New Roman"/>
              </w:rPr>
              <w:t>.</w:t>
            </w:r>
          </w:p>
          <w:p w:rsidR="00173FA7" w:rsidRPr="00173FA7" w:rsidRDefault="00173FA7" w:rsidP="00C6777F">
            <w:pPr>
              <w:jc w:val="both"/>
              <w:rPr>
                <w:rFonts w:ascii="Times New Roman" w:hAnsi="Times New Roman" w:cs="Times New Roman"/>
                <w:b/>
                <w:i/>
              </w:rPr>
            </w:pPr>
          </w:p>
        </w:tc>
        <w:tc>
          <w:tcPr>
            <w:tcW w:w="283" w:type="dxa"/>
            <w:tcBorders>
              <w:top w:val="nil"/>
              <w:left w:val="nil"/>
              <w:bottom w:val="nil"/>
              <w:right w:val="nil"/>
            </w:tcBorders>
          </w:tcPr>
          <w:p w:rsidR="000D17D8" w:rsidRPr="0046372B" w:rsidRDefault="000D17D8" w:rsidP="007F25E3"/>
        </w:tc>
        <w:tc>
          <w:tcPr>
            <w:tcW w:w="4539" w:type="dxa"/>
            <w:vMerge/>
            <w:tcBorders>
              <w:left w:val="nil"/>
            </w:tcBorders>
          </w:tcPr>
          <w:p w:rsidR="000D17D8" w:rsidRPr="0046372B" w:rsidRDefault="000D17D8" w:rsidP="007F25E3">
            <w:pPr>
              <w:jc w:val="both"/>
              <w:rPr>
                <w:rFonts w:ascii="Arial" w:hAnsi="Arial" w:cs="Arial"/>
                <w:lang w:val="vi-VN"/>
              </w:rPr>
            </w:pPr>
          </w:p>
        </w:tc>
      </w:tr>
      <w:tr w:rsidR="000D17D8" w:rsidRPr="004E0218" w:rsidTr="0092414E">
        <w:trPr>
          <w:trHeight w:val="137"/>
        </w:trPr>
        <w:tc>
          <w:tcPr>
            <w:tcW w:w="6062" w:type="dxa"/>
            <w:vMerge/>
            <w:tcBorders>
              <w:top w:val="nil"/>
              <w:right w:val="nil"/>
            </w:tcBorders>
          </w:tcPr>
          <w:p w:rsidR="000D17D8" w:rsidRPr="00A11CE4" w:rsidRDefault="000D17D8" w:rsidP="007F25E3">
            <w:pPr>
              <w:jc w:val="both"/>
              <w:rPr>
                <w:rFonts w:ascii="Times New Roman" w:hAnsi="Times New Roman" w:cs="Times New Roman"/>
                <w:sz w:val="24"/>
                <w:szCs w:val="24"/>
                <w:lang w:val="vi-VN"/>
              </w:rPr>
            </w:pPr>
          </w:p>
        </w:tc>
        <w:tc>
          <w:tcPr>
            <w:tcW w:w="283" w:type="dxa"/>
            <w:tcBorders>
              <w:top w:val="nil"/>
              <w:left w:val="nil"/>
              <w:right w:val="nil"/>
            </w:tcBorders>
          </w:tcPr>
          <w:p w:rsidR="000D17D8" w:rsidRPr="004E0218" w:rsidRDefault="000D17D8" w:rsidP="007F25E3">
            <w:pPr>
              <w:rPr>
                <w:lang w:val="vi-VN"/>
              </w:rPr>
            </w:pPr>
          </w:p>
        </w:tc>
        <w:tc>
          <w:tcPr>
            <w:tcW w:w="4539" w:type="dxa"/>
            <w:vMerge/>
            <w:tcBorders>
              <w:left w:val="nil"/>
            </w:tcBorders>
            <w:shd w:val="clear" w:color="auto" w:fill="auto"/>
          </w:tcPr>
          <w:p w:rsidR="000D17D8" w:rsidRPr="000805E3" w:rsidRDefault="000D17D8" w:rsidP="007F25E3">
            <w:pPr>
              <w:ind w:firstLine="34"/>
              <w:jc w:val="both"/>
              <w:rPr>
                <w:sz w:val="16"/>
                <w:szCs w:val="16"/>
                <w:lang w:val="vi-VN"/>
              </w:rPr>
            </w:pPr>
          </w:p>
        </w:tc>
      </w:tr>
      <w:tr w:rsidR="004A26E6" w:rsidRPr="00481CCB" w:rsidTr="0092414E">
        <w:tc>
          <w:tcPr>
            <w:tcW w:w="10884" w:type="dxa"/>
            <w:gridSpan w:val="3"/>
            <w:shd w:val="clear" w:color="auto" w:fill="DBE5F1" w:themeFill="accent1" w:themeFillTint="33"/>
          </w:tcPr>
          <w:p w:rsidR="004A26E6" w:rsidRPr="00481CCB" w:rsidRDefault="000864E5" w:rsidP="00AB4C19">
            <w:pPr>
              <w:spacing w:before="180" w:after="180" w:line="264" w:lineRule="auto"/>
              <w:jc w:val="center"/>
              <w:rPr>
                <w:rFonts w:ascii="Times New Roman" w:hAnsi="Times New Roman" w:cs="Times New Roman"/>
              </w:rPr>
            </w:pPr>
            <w:r w:rsidRPr="00481CCB">
              <w:rPr>
                <w:rFonts w:ascii="Times New Roman" w:hAnsi="Times New Roman" w:cs="Times New Roman"/>
                <w:lang w:val="vi-VN"/>
              </w:rPr>
              <w:t xml:space="preserve">Để biết thêm thông tin, liên hệ </w:t>
            </w:r>
            <w:r w:rsidRPr="00481CCB">
              <w:rPr>
                <w:rFonts w:ascii="Times New Roman" w:eastAsia="Times New Roman" w:hAnsi="Times New Roman" w:cs="Times New Roman"/>
              </w:rPr>
              <w:t>Anh Nguyễn Hoàng Long - Điện thoại</w:t>
            </w:r>
            <w:r w:rsidR="00C6777F">
              <w:rPr>
                <w:rFonts w:ascii="Times New Roman" w:eastAsia="Times New Roman" w:hAnsi="Times New Roman" w:cs="Times New Roman"/>
              </w:rPr>
              <w:t xml:space="preserve">: 01239.808.777 </w:t>
            </w:r>
            <w:r w:rsidR="00C6777F">
              <w:rPr>
                <w:rFonts w:ascii="Times New Roman" w:eastAsia="Times New Roman" w:hAnsi="Times New Roman" w:cs="Times New Roman"/>
              </w:rPr>
              <w:br/>
            </w:r>
            <w:r w:rsidRPr="00481CCB">
              <w:rPr>
                <w:rFonts w:ascii="Times New Roman" w:eastAsia="Times New Roman" w:hAnsi="Times New Roman" w:cs="Times New Roman"/>
              </w:rPr>
              <w:t xml:space="preserve">Email: </w:t>
            </w:r>
            <w:hyperlink r:id="rId13" w:history="1">
              <w:r w:rsidRPr="00481CCB">
                <w:rPr>
                  <w:rStyle w:val="Hyperlink"/>
                  <w:rFonts w:ascii="Times New Roman" w:eastAsia="Times New Roman" w:hAnsi="Times New Roman" w:cs="Times New Roman"/>
                </w:rPr>
                <w:t>nguyenhoanglong@mof.gov.vn</w:t>
              </w:r>
            </w:hyperlink>
          </w:p>
        </w:tc>
      </w:tr>
    </w:tbl>
    <w:p w:rsidR="00D11FD4" w:rsidRPr="00481CCB" w:rsidRDefault="00D11FD4" w:rsidP="00481CCB">
      <w:pPr>
        <w:jc w:val="both"/>
        <w:rPr>
          <w:rFonts w:ascii="Times New Roman" w:hAnsi="Times New Roman" w:cs="Times New Roman"/>
        </w:rPr>
      </w:pPr>
    </w:p>
    <w:sectPr w:rsidR="00D11FD4" w:rsidRPr="00481CCB" w:rsidSect="000D17D8">
      <w:headerReference w:type="default" r:id="rId14"/>
      <w:pgSz w:w="11907" w:h="16839" w:code="9"/>
      <w:pgMar w:top="454" w:right="680" w:bottom="284" w:left="680" w:header="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2D" w:rsidRDefault="0021562D" w:rsidP="00725E52">
      <w:pPr>
        <w:spacing w:after="0" w:line="240" w:lineRule="auto"/>
      </w:pPr>
      <w:r>
        <w:separator/>
      </w:r>
    </w:p>
  </w:endnote>
  <w:endnote w:type="continuationSeparator" w:id="0">
    <w:p w:rsidR="0021562D" w:rsidRDefault="0021562D"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2D" w:rsidRDefault="0021562D" w:rsidP="00725E52">
      <w:pPr>
        <w:spacing w:after="0" w:line="240" w:lineRule="auto"/>
      </w:pPr>
      <w:r>
        <w:separator/>
      </w:r>
    </w:p>
  </w:footnote>
  <w:footnote w:type="continuationSeparator" w:id="0">
    <w:p w:rsidR="0021562D" w:rsidRDefault="0021562D"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52" w:rsidRPr="00725E52" w:rsidRDefault="00725E52" w:rsidP="00725E52">
    <w:pPr>
      <w:pStyle w:val="Header"/>
      <w:spacing w:before="120"/>
      <w:jc w:val="right"/>
      <w:rPr>
        <w:rFonts w:ascii="Times New Roman" w:hAnsi="Times New Roman" w:cs="Times New Roman"/>
        <w:b/>
        <w:i/>
      </w:rPr>
    </w:pPr>
  </w:p>
  <w:p w:rsidR="00725E52" w:rsidRDefault="00725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13F"/>
    <w:multiLevelType w:val="hybridMultilevel"/>
    <w:tmpl w:val="33E8CAE4"/>
    <w:lvl w:ilvl="0" w:tplc="18B8C2F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D1C19"/>
    <w:multiLevelType w:val="hybridMultilevel"/>
    <w:tmpl w:val="B44EB30A"/>
    <w:lvl w:ilvl="0" w:tplc="66BEE5D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0202C"/>
    <w:multiLevelType w:val="hybridMultilevel"/>
    <w:tmpl w:val="4AAE6DC4"/>
    <w:lvl w:ilvl="0" w:tplc="AB882F8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970F1"/>
    <w:multiLevelType w:val="hybridMultilevel"/>
    <w:tmpl w:val="85E8BDB2"/>
    <w:lvl w:ilvl="0" w:tplc="5A0CEB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715D4"/>
    <w:multiLevelType w:val="hybridMultilevel"/>
    <w:tmpl w:val="8D1CDBBA"/>
    <w:lvl w:ilvl="0" w:tplc="8EBE83D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76C0"/>
    <w:rsid w:val="00003525"/>
    <w:rsid w:val="00006ED7"/>
    <w:rsid w:val="0001130E"/>
    <w:rsid w:val="00012FDE"/>
    <w:rsid w:val="00020568"/>
    <w:rsid w:val="0006203F"/>
    <w:rsid w:val="000674CC"/>
    <w:rsid w:val="000805E3"/>
    <w:rsid w:val="000864E5"/>
    <w:rsid w:val="000D17D8"/>
    <w:rsid w:val="00105AD7"/>
    <w:rsid w:val="00111393"/>
    <w:rsid w:val="00120CAA"/>
    <w:rsid w:val="00123C57"/>
    <w:rsid w:val="00126741"/>
    <w:rsid w:val="001425C0"/>
    <w:rsid w:val="0014720E"/>
    <w:rsid w:val="00150D8D"/>
    <w:rsid w:val="0015763F"/>
    <w:rsid w:val="00171A4C"/>
    <w:rsid w:val="00173FA7"/>
    <w:rsid w:val="00181173"/>
    <w:rsid w:val="00182C72"/>
    <w:rsid w:val="001A4E35"/>
    <w:rsid w:val="001A6333"/>
    <w:rsid w:val="001C51E0"/>
    <w:rsid w:val="001D166C"/>
    <w:rsid w:val="001E03CD"/>
    <w:rsid w:val="001E31DA"/>
    <w:rsid w:val="001E3F1D"/>
    <w:rsid w:val="001F4909"/>
    <w:rsid w:val="00205B68"/>
    <w:rsid w:val="0021562D"/>
    <w:rsid w:val="00226BC0"/>
    <w:rsid w:val="00227432"/>
    <w:rsid w:val="00261ECD"/>
    <w:rsid w:val="00264F5B"/>
    <w:rsid w:val="00270FEF"/>
    <w:rsid w:val="002800AD"/>
    <w:rsid w:val="002840B1"/>
    <w:rsid w:val="00290B9F"/>
    <w:rsid w:val="002964AC"/>
    <w:rsid w:val="002A5817"/>
    <w:rsid w:val="002D3355"/>
    <w:rsid w:val="0030723C"/>
    <w:rsid w:val="00317C37"/>
    <w:rsid w:val="00320329"/>
    <w:rsid w:val="00324AC8"/>
    <w:rsid w:val="00324FA0"/>
    <w:rsid w:val="0032785B"/>
    <w:rsid w:val="00345D3E"/>
    <w:rsid w:val="003617D3"/>
    <w:rsid w:val="00362CEE"/>
    <w:rsid w:val="00374D2E"/>
    <w:rsid w:val="00384F02"/>
    <w:rsid w:val="00385A7A"/>
    <w:rsid w:val="003A450A"/>
    <w:rsid w:val="003C6AE9"/>
    <w:rsid w:val="003C76C0"/>
    <w:rsid w:val="003D0462"/>
    <w:rsid w:val="003F4F64"/>
    <w:rsid w:val="004004A6"/>
    <w:rsid w:val="00403657"/>
    <w:rsid w:val="004125C2"/>
    <w:rsid w:val="0041730A"/>
    <w:rsid w:val="00437E4B"/>
    <w:rsid w:val="00447C4B"/>
    <w:rsid w:val="0046372B"/>
    <w:rsid w:val="00466ED0"/>
    <w:rsid w:val="00470739"/>
    <w:rsid w:val="00471BAC"/>
    <w:rsid w:val="00481CCB"/>
    <w:rsid w:val="004A1A62"/>
    <w:rsid w:val="004A26E6"/>
    <w:rsid w:val="004B35BE"/>
    <w:rsid w:val="004C6137"/>
    <w:rsid w:val="004D5D1A"/>
    <w:rsid w:val="004E0218"/>
    <w:rsid w:val="004E133E"/>
    <w:rsid w:val="004E763F"/>
    <w:rsid w:val="0050129A"/>
    <w:rsid w:val="00512230"/>
    <w:rsid w:val="0051687B"/>
    <w:rsid w:val="00531716"/>
    <w:rsid w:val="005324F4"/>
    <w:rsid w:val="005333BC"/>
    <w:rsid w:val="00536EDF"/>
    <w:rsid w:val="005455B7"/>
    <w:rsid w:val="00563ADE"/>
    <w:rsid w:val="005644CE"/>
    <w:rsid w:val="00566B4B"/>
    <w:rsid w:val="00572E1D"/>
    <w:rsid w:val="005B28BE"/>
    <w:rsid w:val="005C2129"/>
    <w:rsid w:val="005D4748"/>
    <w:rsid w:val="005E3665"/>
    <w:rsid w:val="006019BF"/>
    <w:rsid w:val="0062014E"/>
    <w:rsid w:val="00620A92"/>
    <w:rsid w:val="00621165"/>
    <w:rsid w:val="00623E7B"/>
    <w:rsid w:val="0063600C"/>
    <w:rsid w:val="00672F9F"/>
    <w:rsid w:val="00683E99"/>
    <w:rsid w:val="006937B3"/>
    <w:rsid w:val="00696498"/>
    <w:rsid w:val="006E07EE"/>
    <w:rsid w:val="006E6BEE"/>
    <w:rsid w:val="00704005"/>
    <w:rsid w:val="0071104B"/>
    <w:rsid w:val="00716B2D"/>
    <w:rsid w:val="00717800"/>
    <w:rsid w:val="0072570A"/>
    <w:rsid w:val="00725E52"/>
    <w:rsid w:val="00736A2B"/>
    <w:rsid w:val="00742147"/>
    <w:rsid w:val="007459C8"/>
    <w:rsid w:val="00750FBE"/>
    <w:rsid w:val="007576A1"/>
    <w:rsid w:val="00761BFE"/>
    <w:rsid w:val="00766270"/>
    <w:rsid w:val="007801EF"/>
    <w:rsid w:val="007D211C"/>
    <w:rsid w:val="007D7D44"/>
    <w:rsid w:val="007F25E3"/>
    <w:rsid w:val="007F3AE7"/>
    <w:rsid w:val="00800D02"/>
    <w:rsid w:val="00805B3D"/>
    <w:rsid w:val="008147BA"/>
    <w:rsid w:val="00817B2B"/>
    <w:rsid w:val="00817C56"/>
    <w:rsid w:val="00825734"/>
    <w:rsid w:val="0082676E"/>
    <w:rsid w:val="0083345F"/>
    <w:rsid w:val="008363CE"/>
    <w:rsid w:val="008512AD"/>
    <w:rsid w:val="00866DF0"/>
    <w:rsid w:val="00880862"/>
    <w:rsid w:val="00884225"/>
    <w:rsid w:val="00887232"/>
    <w:rsid w:val="008929CB"/>
    <w:rsid w:val="008952A2"/>
    <w:rsid w:val="008B474B"/>
    <w:rsid w:val="008B7F46"/>
    <w:rsid w:val="008D06C2"/>
    <w:rsid w:val="008D50E2"/>
    <w:rsid w:val="008E5203"/>
    <w:rsid w:val="008E66E3"/>
    <w:rsid w:val="008F5B3A"/>
    <w:rsid w:val="00916196"/>
    <w:rsid w:val="00917BC3"/>
    <w:rsid w:val="0092414E"/>
    <w:rsid w:val="0092471B"/>
    <w:rsid w:val="00965CAB"/>
    <w:rsid w:val="009759D9"/>
    <w:rsid w:val="00977099"/>
    <w:rsid w:val="009A694C"/>
    <w:rsid w:val="009B0418"/>
    <w:rsid w:val="009B5CB9"/>
    <w:rsid w:val="009B6589"/>
    <w:rsid w:val="00A04324"/>
    <w:rsid w:val="00A050B2"/>
    <w:rsid w:val="00A11CE4"/>
    <w:rsid w:val="00A12CBF"/>
    <w:rsid w:val="00A43F5A"/>
    <w:rsid w:val="00A50E45"/>
    <w:rsid w:val="00A57B03"/>
    <w:rsid w:val="00A921B9"/>
    <w:rsid w:val="00A9374C"/>
    <w:rsid w:val="00A93CBA"/>
    <w:rsid w:val="00A9436F"/>
    <w:rsid w:val="00AB4C19"/>
    <w:rsid w:val="00AB7A35"/>
    <w:rsid w:val="00AC40A9"/>
    <w:rsid w:val="00AF07CB"/>
    <w:rsid w:val="00AF246D"/>
    <w:rsid w:val="00AF63DB"/>
    <w:rsid w:val="00B3222B"/>
    <w:rsid w:val="00B42444"/>
    <w:rsid w:val="00B530FF"/>
    <w:rsid w:val="00B91A68"/>
    <w:rsid w:val="00B95472"/>
    <w:rsid w:val="00B97D6C"/>
    <w:rsid w:val="00BC240D"/>
    <w:rsid w:val="00BC363B"/>
    <w:rsid w:val="00BD2771"/>
    <w:rsid w:val="00BE4ADA"/>
    <w:rsid w:val="00BF19D5"/>
    <w:rsid w:val="00BF21CD"/>
    <w:rsid w:val="00BF281D"/>
    <w:rsid w:val="00BF53AB"/>
    <w:rsid w:val="00C2299D"/>
    <w:rsid w:val="00C249DD"/>
    <w:rsid w:val="00C47017"/>
    <w:rsid w:val="00C6777F"/>
    <w:rsid w:val="00C84EB8"/>
    <w:rsid w:val="00C92B89"/>
    <w:rsid w:val="00CB2A78"/>
    <w:rsid w:val="00CB5C86"/>
    <w:rsid w:val="00CC6E7B"/>
    <w:rsid w:val="00CD16A9"/>
    <w:rsid w:val="00CE4A56"/>
    <w:rsid w:val="00D011AE"/>
    <w:rsid w:val="00D07F4C"/>
    <w:rsid w:val="00D10B7C"/>
    <w:rsid w:val="00D1124E"/>
    <w:rsid w:val="00D11FD4"/>
    <w:rsid w:val="00D1233A"/>
    <w:rsid w:val="00D1265D"/>
    <w:rsid w:val="00D50301"/>
    <w:rsid w:val="00D6228F"/>
    <w:rsid w:val="00D8105B"/>
    <w:rsid w:val="00D85E4A"/>
    <w:rsid w:val="00DA7C35"/>
    <w:rsid w:val="00DB1AFF"/>
    <w:rsid w:val="00DC44D8"/>
    <w:rsid w:val="00DC66D5"/>
    <w:rsid w:val="00DD52C6"/>
    <w:rsid w:val="00DD53C1"/>
    <w:rsid w:val="00DE767A"/>
    <w:rsid w:val="00E110C7"/>
    <w:rsid w:val="00E124A4"/>
    <w:rsid w:val="00E22BC2"/>
    <w:rsid w:val="00E30AAA"/>
    <w:rsid w:val="00E631F7"/>
    <w:rsid w:val="00E95AA7"/>
    <w:rsid w:val="00E97D27"/>
    <w:rsid w:val="00EC631F"/>
    <w:rsid w:val="00EE364E"/>
    <w:rsid w:val="00EF36F8"/>
    <w:rsid w:val="00F31DA6"/>
    <w:rsid w:val="00F35C63"/>
    <w:rsid w:val="00F4156D"/>
    <w:rsid w:val="00F51FCD"/>
    <w:rsid w:val="00F54EC6"/>
    <w:rsid w:val="00F54F2D"/>
    <w:rsid w:val="00F70BDC"/>
    <w:rsid w:val="00F80F03"/>
    <w:rsid w:val="00F870CF"/>
    <w:rsid w:val="00FA2C2B"/>
    <w:rsid w:val="00FB57A1"/>
    <w:rsid w:val="00FB5ECA"/>
    <w:rsid w:val="00FD4D1A"/>
    <w:rsid w:val="00FE4416"/>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EEA46-C4E2-4D8E-B9B1-C357782D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semiHidden/>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5E52"/>
  </w:style>
  <w:style w:type="paragraph" w:styleId="ListParagraph">
    <w:name w:val="List Paragraph"/>
    <w:basedOn w:val="Normal"/>
    <w:uiPriority w:val="34"/>
    <w:qFormat/>
    <w:rsid w:val="001A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8943">
      <w:bodyDiv w:val="1"/>
      <w:marLeft w:val="0"/>
      <w:marRight w:val="0"/>
      <w:marTop w:val="0"/>
      <w:marBottom w:val="0"/>
      <w:divBdr>
        <w:top w:val="none" w:sz="0" w:space="0" w:color="auto"/>
        <w:left w:val="none" w:sz="0" w:space="0" w:color="auto"/>
        <w:bottom w:val="none" w:sz="0" w:space="0" w:color="auto"/>
        <w:right w:val="none" w:sz="0" w:space="0" w:color="auto"/>
      </w:divBdr>
    </w:div>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guyenhoanglong@mof.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06655.ADB1FA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94A1-5FF2-4BF9-B599-300F7E0E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Thi Nhi</dc:creator>
  <cp:lastModifiedBy>Nguyen Hoang Long</cp:lastModifiedBy>
  <cp:revision>16</cp:revision>
  <cp:lastPrinted>2016-09-07T02:49:00Z</cp:lastPrinted>
  <dcterms:created xsi:type="dcterms:W3CDTF">2015-07-16T07:42:00Z</dcterms:created>
  <dcterms:modified xsi:type="dcterms:W3CDTF">2016-09-07T02:57:00Z</dcterms:modified>
</cp:coreProperties>
</file>